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90049F" w14:textId="34221423" w:rsidR="00386E87" w:rsidRPr="00B31233" w:rsidRDefault="002511BB" w:rsidP="00D516DD">
      <w:pPr>
        <w:spacing w:after="0"/>
        <w:jc w:val="both"/>
        <w:rPr>
          <w:b/>
          <w:bCs/>
        </w:rPr>
      </w:pPr>
      <w:r w:rsidRPr="00B31233">
        <w:rPr>
          <w:b/>
          <w:bCs/>
        </w:rPr>
        <w:t>Šešėlinio laivyno ekspertų grupė</w:t>
      </w:r>
    </w:p>
    <w:p w14:paraId="40357038" w14:textId="77777777" w:rsidR="00642CB9" w:rsidRDefault="00642CB9" w:rsidP="00D516DD">
      <w:pPr>
        <w:spacing w:after="0"/>
        <w:jc w:val="both"/>
        <w:rPr>
          <w:b/>
          <w:bCs/>
        </w:rPr>
      </w:pPr>
    </w:p>
    <w:p w14:paraId="0EA9BA11" w14:textId="0C1296F2" w:rsidR="002511BB" w:rsidRPr="00B31233" w:rsidRDefault="002511BB" w:rsidP="00D516DD">
      <w:pPr>
        <w:spacing w:after="0"/>
        <w:jc w:val="both"/>
        <w:rPr>
          <w:b/>
          <w:bCs/>
        </w:rPr>
      </w:pPr>
      <w:r w:rsidRPr="00B31233">
        <w:rPr>
          <w:b/>
          <w:bCs/>
        </w:rPr>
        <w:t>Bendras pareiški</w:t>
      </w:r>
      <w:r w:rsidR="00AF4EF8" w:rsidRPr="00B31233">
        <w:rPr>
          <w:b/>
          <w:bCs/>
        </w:rPr>
        <w:t>mas</w:t>
      </w:r>
    </w:p>
    <w:p w14:paraId="58F57082" w14:textId="7E067687" w:rsidR="00AF4EF8" w:rsidRPr="00B31233" w:rsidRDefault="00516322" w:rsidP="00D516DD">
      <w:pPr>
        <w:spacing w:after="0"/>
        <w:jc w:val="both"/>
      </w:pPr>
      <w:r w:rsidRPr="00B31233">
        <w:rPr>
          <w:b/>
          <w:bCs/>
        </w:rPr>
        <w:t xml:space="preserve">2024 m. lapkričio 15 d. </w:t>
      </w:r>
    </w:p>
    <w:p w14:paraId="30E4371B" w14:textId="7A1D0580" w:rsidR="005E51F7" w:rsidRPr="00B31233" w:rsidRDefault="005E51F7" w:rsidP="00D516DD">
      <w:pPr>
        <w:spacing w:after="0"/>
        <w:jc w:val="both"/>
      </w:pPr>
    </w:p>
    <w:p w14:paraId="07ED8CFD" w14:textId="12FFCF11" w:rsidR="00F20F3E" w:rsidRPr="00B31233" w:rsidRDefault="00CE39B0" w:rsidP="00D516DD">
      <w:pPr>
        <w:spacing w:after="0"/>
        <w:jc w:val="both"/>
      </w:pPr>
      <w:r w:rsidRPr="00B31233">
        <w:t>2024 m. lapkričio 13–15 d. Suomija ir Estija Helsinkyje ir Taline surengė susitikimą, kuriame dalyvavo jūrų saugo</w:t>
      </w:r>
      <w:r w:rsidR="00444702">
        <w:t>s</w:t>
      </w:r>
      <w:r w:rsidRPr="00B31233">
        <w:t xml:space="preserve"> ir sankcijų ekspertai iš 12</w:t>
      </w:r>
      <w:r w:rsidR="00642CB9">
        <w:t>-os</w:t>
      </w:r>
      <w:r w:rsidRPr="00B31233">
        <w:t xml:space="preserve"> Baltijos ir Šiaurės jūrų šalių.</w:t>
      </w:r>
    </w:p>
    <w:p w14:paraId="06C0F5C8" w14:textId="77777777" w:rsidR="00F20F3E" w:rsidRPr="00B31233" w:rsidRDefault="00F20F3E" w:rsidP="00D516DD">
      <w:pPr>
        <w:spacing w:after="0"/>
        <w:jc w:val="both"/>
      </w:pPr>
    </w:p>
    <w:p w14:paraId="00C1D749" w14:textId="444C0CEF" w:rsidR="005E51F7" w:rsidRPr="00B31233" w:rsidRDefault="005E51F7" w:rsidP="00D516DD">
      <w:pPr>
        <w:spacing w:after="0"/>
        <w:jc w:val="both"/>
      </w:pPr>
      <w:r w:rsidRPr="00B31233">
        <w:t xml:space="preserve">Susitikime dalyvavo  Danija, Estija, Suomija, Vokietija, Islandija, Latvija, Lietuva, Nyderlandai, Norvegija, Lenkija, Švedija ir Jungtinė </w:t>
      </w:r>
      <w:r w:rsidR="00444702">
        <w:t>K</w:t>
      </w:r>
      <w:r w:rsidRPr="00B31233">
        <w:t>aralystė</w:t>
      </w:r>
      <w:r w:rsidR="00444702">
        <w:t>. Šių šalių ekspertai</w:t>
      </w:r>
      <w:r w:rsidRPr="00B31233">
        <w:t xml:space="preserve"> susitiko aptarti tolesn</w:t>
      </w:r>
      <w:r w:rsidR="00444702">
        <w:t>es</w:t>
      </w:r>
      <w:r w:rsidRPr="00B31233">
        <w:t xml:space="preserve"> tarptautin</w:t>
      </w:r>
      <w:r w:rsidR="00444702">
        <w:t xml:space="preserve">es priemones ir </w:t>
      </w:r>
      <w:r w:rsidRPr="00B31233">
        <w:t>galimyb</w:t>
      </w:r>
      <w:r w:rsidR="00444702">
        <w:t>es</w:t>
      </w:r>
      <w:r w:rsidRPr="00B31233">
        <w:t xml:space="preserve"> spr</w:t>
      </w:r>
      <w:r w:rsidR="00444702">
        <w:t>ęsti</w:t>
      </w:r>
      <w:r w:rsidRPr="00B31233">
        <w:t xml:space="preserve"> Rusijos</w:t>
      </w:r>
      <w:r w:rsidR="00611111">
        <w:t xml:space="preserve"> </w:t>
      </w:r>
      <w:r w:rsidRPr="00B31233">
        <w:t>šešėlinio laivyno problemą.</w:t>
      </w:r>
    </w:p>
    <w:p w14:paraId="43D8FD24" w14:textId="6ACD2603" w:rsidR="005E51F7" w:rsidRPr="00B31233" w:rsidRDefault="005E51F7" w:rsidP="00D516DD">
      <w:pPr>
        <w:spacing w:after="0"/>
        <w:jc w:val="both"/>
      </w:pPr>
    </w:p>
    <w:p w14:paraId="13230623" w14:textId="2B6FB98D" w:rsidR="00D62BA4" w:rsidRPr="00B31233" w:rsidRDefault="00D62BA4" w:rsidP="00D516DD">
      <w:pPr>
        <w:spacing w:after="0"/>
        <w:jc w:val="both"/>
      </w:pPr>
      <w:r w:rsidRPr="00B31233">
        <w:t>Dalyvaujančios šalys</w:t>
      </w:r>
    </w:p>
    <w:p w14:paraId="43E9A48B" w14:textId="77777777" w:rsidR="00D62BA4" w:rsidRPr="00B31233" w:rsidRDefault="00D62BA4" w:rsidP="00D516DD">
      <w:pPr>
        <w:spacing w:after="0"/>
        <w:jc w:val="both"/>
      </w:pPr>
    </w:p>
    <w:p w14:paraId="3B906BD3" w14:textId="7033BBD0" w:rsidR="00815AC9" w:rsidRPr="00B31233" w:rsidRDefault="00BD5C87" w:rsidP="00D516DD">
      <w:pPr>
        <w:pStyle w:val="Sraopastraipa"/>
        <w:numPr>
          <w:ilvl w:val="0"/>
          <w:numId w:val="1"/>
        </w:numPr>
        <w:spacing w:after="0"/>
        <w:jc w:val="both"/>
      </w:pPr>
      <w:r>
        <w:rPr>
          <w:i/>
          <w:iCs/>
        </w:rPr>
        <w:t>p</w:t>
      </w:r>
      <w:r w:rsidR="00846766" w:rsidRPr="00A93DCC">
        <w:rPr>
          <w:i/>
          <w:iCs/>
        </w:rPr>
        <w:t>abrėžia</w:t>
      </w:r>
      <w:r w:rsidR="00846766" w:rsidRPr="00B31233">
        <w:t xml:space="preserve"> Tarptautinės jūrų organizacijos (TJO) rezoliucijos A.1192(33), priimt</w:t>
      </w:r>
      <w:r w:rsidR="00444702">
        <w:t>os</w:t>
      </w:r>
      <w:r w:rsidR="00846766" w:rsidRPr="00B31233">
        <w:t xml:space="preserve"> 2023 m. gruodžio 6 d.</w:t>
      </w:r>
      <w:r w:rsidR="00444702">
        <w:t>,</w:t>
      </w:r>
      <w:r w:rsidR="00846766" w:rsidRPr="00B31233">
        <w:t xml:space="preserve"> </w:t>
      </w:r>
      <w:r w:rsidR="00444702" w:rsidRPr="00B31233">
        <w:t xml:space="preserve">svarbą </w:t>
      </w:r>
      <w:r w:rsidR="00846766" w:rsidRPr="00B31233">
        <w:t>ir ragina visas valstybes nares skatinti veiksmus, skirtus neleisti šešėliniam laivynui vykdyti neteisėtą veiklą jūrų sektoriuje;</w:t>
      </w:r>
    </w:p>
    <w:p w14:paraId="656B984F" w14:textId="77777777" w:rsidR="00846766" w:rsidRPr="00B31233" w:rsidRDefault="00846766" w:rsidP="00D516DD">
      <w:pPr>
        <w:pStyle w:val="Sraopastraipa"/>
        <w:spacing w:after="0"/>
        <w:jc w:val="both"/>
      </w:pPr>
    </w:p>
    <w:p w14:paraId="354FEACC" w14:textId="53C0EB81" w:rsidR="00CA6F94" w:rsidRPr="00B31233" w:rsidRDefault="00BD5C87" w:rsidP="00D516DD">
      <w:pPr>
        <w:pStyle w:val="Sraopastraipa"/>
        <w:numPr>
          <w:ilvl w:val="0"/>
          <w:numId w:val="1"/>
        </w:numPr>
        <w:jc w:val="both"/>
      </w:pPr>
      <w:r>
        <w:rPr>
          <w:i/>
          <w:iCs/>
        </w:rPr>
        <w:t>r</w:t>
      </w:r>
      <w:r w:rsidR="00132387" w:rsidRPr="00A93DCC">
        <w:rPr>
          <w:i/>
          <w:iCs/>
        </w:rPr>
        <w:t>emiasi</w:t>
      </w:r>
      <w:r w:rsidR="00132387" w:rsidRPr="00B31233">
        <w:t xml:space="preserve"> Baltijos jūros valstybių tarybos 2024 m. birželio 14 d.</w:t>
      </w:r>
      <w:r w:rsidR="00642CB9" w:rsidRPr="00642CB9">
        <w:t xml:space="preserve"> </w:t>
      </w:r>
      <w:r w:rsidR="00642CB9" w:rsidRPr="00B31233">
        <w:t xml:space="preserve">paskelbta </w:t>
      </w:r>
      <w:proofErr w:type="spellStart"/>
      <w:r w:rsidR="00642CB9" w:rsidRPr="00B31233">
        <w:t>Porvoo</w:t>
      </w:r>
      <w:proofErr w:type="spellEnd"/>
      <w:r w:rsidR="00642CB9" w:rsidRPr="00B31233">
        <w:t xml:space="preserve"> deklaracija, </w:t>
      </w:r>
      <w:r>
        <w:t xml:space="preserve">kurioje </w:t>
      </w:r>
      <w:r w:rsidR="00132387" w:rsidRPr="00B31233">
        <w:t>ragina</w:t>
      </w:r>
      <w:r>
        <w:t>m</w:t>
      </w:r>
      <w:r w:rsidR="00132387" w:rsidRPr="00B31233">
        <w:t>a imtis ryžtingų bendrų veiksmų prieš rusišką naftą</w:t>
      </w:r>
      <w:r w:rsidR="00642CB9" w:rsidRPr="00642CB9">
        <w:t xml:space="preserve"> </w:t>
      </w:r>
      <w:r w:rsidR="00642CB9" w:rsidRPr="00B31233">
        <w:t>gabenantį šešėlinį laivyną</w:t>
      </w:r>
      <w:r w:rsidR="00132387" w:rsidRPr="00B31233">
        <w:t>, įskaitant sankcijų stiprinimą;</w:t>
      </w:r>
    </w:p>
    <w:p w14:paraId="55EF71FE" w14:textId="77777777" w:rsidR="00CA6F94" w:rsidRPr="00B31233" w:rsidRDefault="00CA6F94" w:rsidP="00D516DD">
      <w:pPr>
        <w:pStyle w:val="Sraopastraipa"/>
        <w:jc w:val="both"/>
      </w:pPr>
    </w:p>
    <w:p w14:paraId="1B3AFD67" w14:textId="3E7B9C8C" w:rsidR="00A73C7F" w:rsidRPr="00B31233" w:rsidRDefault="00BD5C87" w:rsidP="00D516DD">
      <w:pPr>
        <w:pStyle w:val="Sraopastraipa"/>
        <w:numPr>
          <w:ilvl w:val="0"/>
          <w:numId w:val="1"/>
        </w:numPr>
        <w:jc w:val="both"/>
      </w:pPr>
      <w:r>
        <w:rPr>
          <w:i/>
          <w:iCs/>
        </w:rPr>
        <w:t>p</w:t>
      </w:r>
      <w:r w:rsidR="00CA6F94" w:rsidRPr="00A93DCC">
        <w:rPr>
          <w:i/>
          <w:iCs/>
        </w:rPr>
        <w:t>akartoja</w:t>
      </w:r>
      <w:r w:rsidR="00CA6F94" w:rsidRPr="00B31233">
        <w:t xml:space="preserve"> </w:t>
      </w:r>
      <w:r w:rsidR="00611111">
        <w:t>„</w:t>
      </w:r>
      <w:r>
        <w:t>R</w:t>
      </w:r>
      <w:r w:rsidR="00CA6F94" w:rsidRPr="00B31233">
        <w:t>aginimą veikti</w:t>
      </w:r>
      <w:r w:rsidR="00611111">
        <w:t>“</w:t>
      </w:r>
      <w:r w:rsidR="00CA6F94" w:rsidRPr="00B31233">
        <w:t xml:space="preserve"> prieš šešėlinį laivyną, dėl kurio buvo sutarta Jungtinės Karalystės </w:t>
      </w:r>
      <w:r w:rsidR="00642CB9">
        <w:t>surengtame</w:t>
      </w:r>
      <w:r w:rsidR="00642CB9" w:rsidRPr="00B31233">
        <w:t xml:space="preserve"> </w:t>
      </w:r>
      <w:r w:rsidR="00CA6F94" w:rsidRPr="00B31233">
        <w:t xml:space="preserve">Europos politinės bendruomenės (EPB) viršūnių 2024 m. liepos 18 d. </w:t>
      </w:r>
      <w:r w:rsidRPr="00B31233">
        <w:t>susitikim</w:t>
      </w:r>
      <w:r>
        <w:t>e.</w:t>
      </w:r>
      <w:r w:rsidRPr="00B31233">
        <w:t xml:space="preserve"> </w:t>
      </w:r>
      <w:r w:rsidR="00CA6F94" w:rsidRPr="00B31233">
        <w:t xml:space="preserve">Šį dokumentą, kuriuo siekiama spręsti </w:t>
      </w:r>
      <w:r>
        <w:t xml:space="preserve">problemas dėl </w:t>
      </w:r>
      <w:r w:rsidR="00CA6F94" w:rsidRPr="00B31233">
        <w:t>šešėlinio laivyno keliam</w:t>
      </w:r>
      <w:r>
        <w:t>o</w:t>
      </w:r>
      <w:r w:rsidR="00CA6F94" w:rsidRPr="00B31233">
        <w:t>s grėsm</w:t>
      </w:r>
      <w:r>
        <w:t>ė</w:t>
      </w:r>
      <w:r w:rsidR="00CA6F94" w:rsidRPr="00B31233">
        <w:t xml:space="preserve">s aplinkai, jūrų saugai ir saugumui, tarptautinės jūrų prekybos vientisumui </w:t>
      </w:r>
      <w:r w:rsidR="00642CB9">
        <w:t>ir</w:t>
      </w:r>
      <w:r w:rsidR="00642CB9" w:rsidRPr="00B31233">
        <w:t xml:space="preserve"> </w:t>
      </w:r>
      <w:r w:rsidR="00CA6F94" w:rsidRPr="00B31233">
        <w:t>tarptautinei jūrų teisei, pasirašė 46 šalys ir Europos Sąjunga. Taip pat sutarta, kad atitinkami ekspertai toliau dirbs grupėse ir regioniniuose formatuose, siekdami įgyvendinti konkrečias priemones;</w:t>
      </w:r>
    </w:p>
    <w:p w14:paraId="41181DBA" w14:textId="77777777" w:rsidR="00A73C7F" w:rsidRPr="00B31233" w:rsidRDefault="00A73C7F" w:rsidP="00D516DD">
      <w:pPr>
        <w:pStyle w:val="Sraopastraipa"/>
        <w:jc w:val="both"/>
      </w:pPr>
    </w:p>
    <w:p w14:paraId="40DF1F27" w14:textId="52B85CD1" w:rsidR="00B31233" w:rsidRDefault="00BD5C87" w:rsidP="00D516DD">
      <w:pPr>
        <w:pStyle w:val="Sraopastraipa"/>
        <w:numPr>
          <w:ilvl w:val="0"/>
          <w:numId w:val="1"/>
        </w:numPr>
        <w:jc w:val="both"/>
      </w:pPr>
      <w:r>
        <w:rPr>
          <w:i/>
          <w:iCs/>
        </w:rPr>
        <w:t>p</w:t>
      </w:r>
      <w:r w:rsidR="00A73C7F" w:rsidRPr="00A93DCC">
        <w:rPr>
          <w:i/>
          <w:iCs/>
        </w:rPr>
        <w:t xml:space="preserve">abrėžia </w:t>
      </w:r>
      <w:r w:rsidR="00A73C7F" w:rsidRPr="00B31233">
        <w:t>tvirt</w:t>
      </w:r>
      <w:r>
        <w:t>ą nuostatą dėl</w:t>
      </w:r>
      <w:r w:rsidR="00A73C7F" w:rsidRPr="00B31233">
        <w:t xml:space="preserve"> priemon</w:t>
      </w:r>
      <w:r>
        <w:t>ių</w:t>
      </w:r>
      <w:r w:rsidR="00A73C7F" w:rsidRPr="00B31233">
        <w:t>, kurias jau įgyvendino Europos Sąjunga, Jungtinė Karalystė ir mūsų partnerių šalys, bendromis jėgomis spręsdam</w:t>
      </w:r>
      <w:r w:rsidR="00642CB9">
        <w:t>os</w:t>
      </w:r>
      <w:r w:rsidR="00A73C7F" w:rsidRPr="00B31233">
        <w:t xml:space="preserve"> šešėlini laivyno keliamą iššūkį ir tęsdam</w:t>
      </w:r>
      <w:r w:rsidR="00642CB9">
        <w:t>os</w:t>
      </w:r>
      <w:r w:rsidR="00A73C7F" w:rsidRPr="00B31233">
        <w:t xml:space="preserve"> bendradarbiavimą dėl </w:t>
      </w:r>
      <w:r w:rsidR="00642CB9" w:rsidRPr="00B31233">
        <w:t>sankcij</w:t>
      </w:r>
      <w:r w:rsidR="00642CB9">
        <w:t>ų</w:t>
      </w:r>
      <w:r w:rsidR="00642CB9" w:rsidRPr="00B31233">
        <w:t xml:space="preserve"> skyrimo </w:t>
      </w:r>
      <w:r w:rsidR="00A73C7F" w:rsidRPr="00B31233">
        <w:t>laiv</w:t>
      </w:r>
      <w:r w:rsidR="00642CB9">
        <w:t>ams</w:t>
      </w:r>
      <w:r w:rsidR="00A73C7F" w:rsidRPr="00B31233">
        <w:t>;</w:t>
      </w:r>
    </w:p>
    <w:p w14:paraId="07E7DCED" w14:textId="77777777" w:rsidR="00A93DCC" w:rsidRPr="00B31233" w:rsidRDefault="00A93DCC" w:rsidP="00D516DD">
      <w:pPr>
        <w:jc w:val="both"/>
      </w:pPr>
    </w:p>
    <w:p w14:paraId="0632C4A4" w14:textId="3A471742" w:rsidR="00A01435" w:rsidRPr="00B31233" w:rsidRDefault="00BD5C87" w:rsidP="00D516DD">
      <w:pPr>
        <w:pStyle w:val="Sraopastraipa"/>
        <w:numPr>
          <w:ilvl w:val="0"/>
          <w:numId w:val="1"/>
        </w:numPr>
        <w:spacing w:after="0"/>
        <w:jc w:val="both"/>
      </w:pPr>
      <w:r w:rsidRPr="00783D05">
        <w:rPr>
          <w:i/>
          <w:iCs/>
        </w:rPr>
        <w:t>a</w:t>
      </w:r>
      <w:r w:rsidR="00561343" w:rsidRPr="00783D05">
        <w:rPr>
          <w:i/>
          <w:iCs/>
        </w:rPr>
        <w:t>tsižvelg</w:t>
      </w:r>
      <w:r w:rsidRPr="00783D05">
        <w:rPr>
          <w:i/>
          <w:iCs/>
        </w:rPr>
        <w:t>ia</w:t>
      </w:r>
      <w:r w:rsidR="00B2312D" w:rsidRPr="00B31233">
        <w:t xml:space="preserve"> į</w:t>
      </w:r>
      <w:r w:rsidR="00F413C9" w:rsidRPr="00B31233">
        <w:t xml:space="preserve"> Danijoje vykusio </w:t>
      </w:r>
      <w:r w:rsidR="00DA36B3" w:rsidRPr="00B31233">
        <w:t xml:space="preserve">ekspertų grupės susirinkimo ir ankstesnių susitikimų Osle ir Kopenhagoje </w:t>
      </w:r>
      <w:r w:rsidR="00642CB9">
        <w:t>nuostatas</w:t>
      </w:r>
      <w:r w:rsidR="00DA36B3" w:rsidRPr="00B31233">
        <w:t xml:space="preserve"> </w:t>
      </w:r>
      <w:r w:rsidR="00642CB9">
        <w:t>įgyvendin</w:t>
      </w:r>
      <w:r>
        <w:t>ti</w:t>
      </w:r>
      <w:r w:rsidR="00642CB9" w:rsidRPr="00B31233">
        <w:t xml:space="preserve"> </w:t>
      </w:r>
      <w:r w:rsidR="006D2FDD" w:rsidRPr="00B31233">
        <w:t>bendr</w:t>
      </w:r>
      <w:r w:rsidR="00642CB9">
        <w:t>us</w:t>
      </w:r>
      <w:r w:rsidR="00A42420" w:rsidRPr="00B31233">
        <w:t xml:space="preserve"> </w:t>
      </w:r>
      <w:r w:rsidR="00DA36B3" w:rsidRPr="00B31233">
        <w:t>įsipareigojim</w:t>
      </w:r>
      <w:r w:rsidR="00642CB9">
        <w:t>us</w:t>
      </w:r>
      <w:r w:rsidR="00DA36B3" w:rsidRPr="00B31233">
        <w:t xml:space="preserve"> </w:t>
      </w:r>
      <w:r w:rsidR="00830CDF" w:rsidRPr="00B31233">
        <w:t xml:space="preserve">kartu </w:t>
      </w:r>
      <w:r w:rsidR="00642CB9">
        <w:t>imtis</w:t>
      </w:r>
      <w:r w:rsidR="00642CB9" w:rsidRPr="00B31233">
        <w:t xml:space="preserve"> </w:t>
      </w:r>
      <w:r w:rsidR="00DA36B3" w:rsidRPr="00B31233">
        <w:t>tolesnių sankcijų ir tarptautinių veiksmų prieš šešėlinio laivyno veiklą,</w:t>
      </w:r>
    </w:p>
    <w:p w14:paraId="59211EDF" w14:textId="77777777" w:rsidR="00B31233" w:rsidRPr="00B31233" w:rsidRDefault="00B31233" w:rsidP="00D516DD">
      <w:pPr>
        <w:pStyle w:val="Sraopastraipa"/>
        <w:spacing w:after="0"/>
        <w:jc w:val="both"/>
      </w:pPr>
    </w:p>
    <w:p w14:paraId="315D0C42" w14:textId="6698CA19" w:rsidR="00812001" w:rsidRPr="00B31233" w:rsidRDefault="00B31233" w:rsidP="00D516DD">
      <w:pPr>
        <w:spacing w:after="0"/>
        <w:jc w:val="both"/>
      </w:pPr>
      <w:r w:rsidRPr="00B31233">
        <w:rPr>
          <w:rFonts w:eastAsia="Times New Roman" w:cs="Times New Roman"/>
          <w:kern w:val="0"/>
          <w:lang w:eastAsia="lt-LT"/>
          <w14:ligatures w14:val="none"/>
        </w:rPr>
        <w:t xml:space="preserve">yra įsipareigojusios kartu spręsti šešėlinio laivyno keliamas grėsmes, ypač Baltijos ir Šiaurės jūrų </w:t>
      </w:r>
      <w:r w:rsidR="00642CB9" w:rsidRPr="00B31233">
        <w:rPr>
          <w:rFonts w:eastAsia="Times New Roman" w:cs="Times New Roman"/>
          <w:kern w:val="0"/>
          <w:lang w:eastAsia="lt-LT"/>
          <w14:ligatures w14:val="none"/>
        </w:rPr>
        <w:t>vandenyse</w:t>
      </w:r>
      <w:r w:rsidR="00642CB9">
        <w:rPr>
          <w:rFonts w:eastAsia="Times New Roman" w:cs="Times New Roman"/>
          <w:kern w:val="0"/>
          <w:lang w:eastAsia="lt-LT"/>
          <w14:ligatures w14:val="none"/>
        </w:rPr>
        <w:t>,</w:t>
      </w:r>
      <w:r w:rsidR="00642CB9" w:rsidRPr="00B31233">
        <w:rPr>
          <w:rFonts w:eastAsia="Times New Roman" w:cs="Times New Roman"/>
          <w:kern w:val="0"/>
          <w:lang w:eastAsia="lt-LT"/>
          <w14:ligatures w14:val="none"/>
        </w:rPr>
        <w:t xml:space="preserve"> jautriuose </w:t>
      </w:r>
      <w:r w:rsidRPr="00B31233">
        <w:rPr>
          <w:rFonts w:eastAsia="Times New Roman" w:cs="Times New Roman"/>
          <w:kern w:val="0"/>
          <w:lang w:eastAsia="lt-LT"/>
          <w14:ligatures w14:val="none"/>
        </w:rPr>
        <w:t xml:space="preserve">aplinkosaugos požiūriu, ir ieškoti naujų galimybių </w:t>
      </w:r>
      <w:r w:rsidR="00642CB9">
        <w:rPr>
          <w:rFonts w:eastAsia="Times New Roman" w:cs="Times New Roman"/>
          <w:kern w:val="0"/>
          <w:lang w:eastAsia="lt-LT"/>
          <w14:ligatures w14:val="none"/>
        </w:rPr>
        <w:t xml:space="preserve">imtis </w:t>
      </w:r>
      <w:r w:rsidRPr="00B31233">
        <w:rPr>
          <w:rFonts w:eastAsia="Times New Roman" w:cs="Times New Roman"/>
          <w:kern w:val="0"/>
          <w:lang w:eastAsia="lt-LT"/>
          <w14:ligatures w14:val="none"/>
        </w:rPr>
        <w:t>bendr</w:t>
      </w:r>
      <w:r w:rsidR="00642CB9">
        <w:rPr>
          <w:rFonts w:eastAsia="Times New Roman" w:cs="Times New Roman"/>
          <w:kern w:val="0"/>
          <w:lang w:eastAsia="lt-LT"/>
          <w14:ligatures w14:val="none"/>
        </w:rPr>
        <w:t>ų</w:t>
      </w:r>
      <w:r w:rsidRPr="00B31233">
        <w:rPr>
          <w:rFonts w:eastAsia="Times New Roman" w:cs="Times New Roman"/>
          <w:kern w:val="0"/>
          <w:lang w:eastAsia="lt-LT"/>
          <w14:ligatures w14:val="none"/>
        </w:rPr>
        <w:t xml:space="preserve"> priemon</w:t>
      </w:r>
      <w:r w:rsidR="00642CB9">
        <w:rPr>
          <w:rFonts w:eastAsia="Times New Roman" w:cs="Times New Roman"/>
          <w:kern w:val="0"/>
          <w:lang w:eastAsia="lt-LT"/>
          <w14:ligatures w14:val="none"/>
        </w:rPr>
        <w:t>ių</w:t>
      </w:r>
      <w:r w:rsidRPr="00B31233">
        <w:rPr>
          <w:rFonts w:eastAsia="Times New Roman" w:cs="Times New Roman"/>
          <w:kern w:val="0"/>
          <w:lang w:eastAsia="lt-LT"/>
          <w14:ligatures w14:val="none"/>
        </w:rPr>
        <w:t xml:space="preserve"> prieš šešėlin</w:t>
      </w:r>
      <w:r w:rsidR="00611111">
        <w:rPr>
          <w:rFonts w:eastAsia="Times New Roman" w:cs="Times New Roman"/>
          <w:kern w:val="0"/>
          <w:lang w:eastAsia="lt-LT"/>
          <w14:ligatures w14:val="none"/>
        </w:rPr>
        <w:t>į</w:t>
      </w:r>
      <w:r w:rsidRPr="00B31233">
        <w:rPr>
          <w:rFonts w:eastAsia="Times New Roman" w:cs="Times New Roman"/>
          <w:kern w:val="0"/>
          <w:lang w:eastAsia="lt-LT"/>
          <w14:ligatures w14:val="none"/>
        </w:rPr>
        <w:t xml:space="preserve"> laivyną, laikantis tarptautinės teisės.</w:t>
      </w:r>
    </w:p>
    <w:p w14:paraId="4E4ACF1D" w14:textId="6E53C820" w:rsidR="0092146E" w:rsidRPr="009F0AD2" w:rsidRDefault="0092146E" w:rsidP="00D516DD">
      <w:pPr>
        <w:spacing w:after="0"/>
        <w:jc w:val="both"/>
      </w:pPr>
    </w:p>
    <w:sectPr w:rsidR="0092146E" w:rsidRPr="009F0AD2" w:rsidSect="005E51F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020142"/>
    <w:multiLevelType w:val="hybridMultilevel"/>
    <w:tmpl w:val="3D984186"/>
    <w:lvl w:ilvl="0" w:tplc="CC1CFE64">
      <w:numFmt w:val="bullet"/>
      <w:lvlText w:val="‒"/>
      <w:lvlJc w:val="left"/>
      <w:pPr>
        <w:ind w:left="720" w:hanging="360"/>
      </w:pPr>
      <w:rPr>
        <w:rFonts w:ascii="Calibri" w:eastAsia="Calibri" w:hAnsi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700480"/>
    <w:multiLevelType w:val="hybridMultilevel"/>
    <w:tmpl w:val="0CBAAC14"/>
    <w:lvl w:ilvl="0" w:tplc="D23CCD7E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6C05022"/>
    <w:multiLevelType w:val="hybridMultilevel"/>
    <w:tmpl w:val="F8E40E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445DB"/>
    <w:multiLevelType w:val="hybridMultilevel"/>
    <w:tmpl w:val="44D063D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5744309">
    <w:abstractNumId w:val="0"/>
  </w:num>
  <w:num w:numId="2" w16cid:durableId="787629743">
    <w:abstractNumId w:val="1"/>
  </w:num>
  <w:num w:numId="3" w16cid:durableId="1570263447">
    <w:abstractNumId w:val="2"/>
  </w:num>
  <w:num w:numId="4" w16cid:durableId="7082636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969"/>
    <w:rsid w:val="00007DA5"/>
    <w:rsid w:val="00014C15"/>
    <w:rsid w:val="00035864"/>
    <w:rsid w:val="000916C6"/>
    <w:rsid w:val="000A02D7"/>
    <w:rsid w:val="000B3D4F"/>
    <w:rsid w:val="000C36A1"/>
    <w:rsid w:val="000C55AC"/>
    <w:rsid w:val="00104BE8"/>
    <w:rsid w:val="00132387"/>
    <w:rsid w:val="00146CB2"/>
    <w:rsid w:val="00157BE6"/>
    <w:rsid w:val="00165772"/>
    <w:rsid w:val="00171289"/>
    <w:rsid w:val="00177442"/>
    <w:rsid w:val="001A6A68"/>
    <w:rsid w:val="001C0A8C"/>
    <w:rsid w:val="001E156A"/>
    <w:rsid w:val="001F5303"/>
    <w:rsid w:val="00200C71"/>
    <w:rsid w:val="00202BD6"/>
    <w:rsid w:val="002511BB"/>
    <w:rsid w:val="00261BBC"/>
    <w:rsid w:val="002D2DEB"/>
    <w:rsid w:val="002F4B74"/>
    <w:rsid w:val="00386E87"/>
    <w:rsid w:val="003A5999"/>
    <w:rsid w:val="003B5F3A"/>
    <w:rsid w:val="003F6969"/>
    <w:rsid w:val="004066F6"/>
    <w:rsid w:val="00431F76"/>
    <w:rsid w:val="00444702"/>
    <w:rsid w:val="0045644F"/>
    <w:rsid w:val="00476B61"/>
    <w:rsid w:val="00516322"/>
    <w:rsid w:val="00542B9D"/>
    <w:rsid w:val="005459F4"/>
    <w:rsid w:val="00561343"/>
    <w:rsid w:val="00561EC3"/>
    <w:rsid w:val="005738C6"/>
    <w:rsid w:val="00586710"/>
    <w:rsid w:val="005A6EF9"/>
    <w:rsid w:val="005B3D2F"/>
    <w:rsid w:val="005C0D96"/>
    <w:rsid w:val="005E3B28"/>
    <w:rsid w:val="005E51F7"/>
    <w:rsid w:val="00611111"/>
    <w:rsid w:val="006111AA"/>
    <w:rsid w:val="0062507B"/>
    <w:rsid w:val="00642CB9"/>
    <w:rsid w:val="006A1259"/>
    <w:rsid w:val="006C7D1B"/>
    <w:rsid w:val="006D2FDD"/>
    <w:rsid w:val="006D37EA"/>
    <w:rsid w:val="007033DC"/>
    <w:rsid w:val="00725F06"/>
    <w:rsid w:val="00783D05"/>
    <w:rsid w:val="007B6B80"/>
    <w:rsid w:val="0080644A"/>
    <w:rsid w:val="00812001"/>
    <w:rsid w:val="00815AC9"/>
    <w:rsid w:val="00826829"/>
    <w:rsid w:val="00830CDF"/>
    <w:rsid w:val="00834564"/>
    <w:rsid w:val="008365D6"/>
    <w:rsid w:val="00846766"/>
    <w:rsid w:val="008D7E5B"/>
    <w:rsid w:val="008E3FAA"/>
    <w:rsid w:val="0092146E"/>
    <w:rsid w:val="009579B7"/>
    <w:rsid w:val="009908C8"/>
    <w:rsid w:val="009D2009"/>
    <w:rsid w:val="009F0AD2"/>
    <w:rsid w:val="00A01435"/>
    <w:rsid w:val="00A2041B"/>
    <w:rsid w:val="00A22067"/>
    <w:rsid w:val="00A42420"/>
    <w:rsid w:val="00A71654"/>
    <w:rsid w:val="00A73C7F"/>
    <w:rsid w:val="00A93DCC"/>
    <w:rsid w:val="00AA6756"/>
    <w:rsid w:val="00AC52E2"/>
    <w:rsid w:val="00AF4EF8"/>
    <w:rsid w:val="00AF7C04"/>
    <w:rsid w:val="00B050B1"/>
    <w:rsid w:val="00B2312D"/>
    <w:rsid w:val="00B31233"/>
    <w:rsid w:val="00B42563"/>
    <w:rsid w:val="00B828C6"/>
    <w:rsid w:val="00BD38DE"/>
    <w:rsid w:val="00BD5C87"/>
    <w:rsid w:val="00BD666D"/>
    <w:rsid w:val="00C01EEB"/>
    <w:rsid w:val="00C265A8"/>
    <w:rsid w:val="00C656F9"/>
    <w:rsid w:val="00C667DA"/>
    <w:rsid w:val="00CA6F94"/>
    <w:rsid w:val="00CD2E4E"/>
    <w:rsid w:val="00CE39B0"/>
    <w:rsid w:val="00CE69C0"/>
    <w:rsid w:val="00CF7666"/>
    <w:rsid w:val="00D01A55"/>
    <w:rsid w:val="00D369CD"/>
    <w:rsid w:val="00D37338"/>
    <w:rsid w:val="00D5048D"/>
    <w:rsid w:val="00D506B9"/>
    <w:rsid w:val="00D516DD"/>
    <w:rsid w:val="00D62BA4"/>
    <w:rsid w:val="00D776F3"/>
    <w:rsid w:val="00DA36B3"/>
    <w:rsid w:val="00DC0D5D"/>
    <w:rsid w:val="00E20601"/>
    <w:rsid w:val="00E36921"/>
    <w:rsid w:val="00E46A4E"/>
    <w:rsid w:val="00E6517B"/>
    <w:rsid w:val="00E812B0"/>
    <w:rsid w:val="00EB7EC4"/>
    <w:rsid w:val="00EC020E"/>
    <w:rsid w:val="00EE6F12"/>
    <w:rsid w:val="00F20F3E"/>
    <w:rsid w:val="00F413C9"/>
    <w:rsid w:val="00F65CC3"/>
    <w:rsid w:val="00F86746"/>
    <w:rsid w:val="00F91504"/>
    <w:rsid w:val="00FD1AC3"/>
    <w:rsid w:val="00FD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E3166"/>
  <w15:chartTrackingRefBased/>
  <w15:docId w15:val="{86636A34-96A5-4804-9D00-AE8C5BFC0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F69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F69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F69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F69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F69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F69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F69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F69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F69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F69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F69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F69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F696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F696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F696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F696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F696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F696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F69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F69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F69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F69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F69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F696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F696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F696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F69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F696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F6969"/>
    <w:rPr>
      <w:b/>
      <w:bCs/>
      <w:smallCaps/>
      <w:color w:val="0F4761" w:themeColor="accent1" w:themeShade="BF"/>
      <w:spacing w:val="5"/>
    </w:rPr>
  </w:style>
  <w:style w:type="paragraph" w:styleId="prastasiniatinklio">
    <w:name w:val="Normal (Web)"/>
    <w:basedOn w:val="prastasis"/>
    <w:uiPriority w:val="99"/>
    <w:unhideWhenUsed/>
    <w:rsid w:val="00812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paragraph" w:styleId="Pataisymai">
    <w:name w:val="Revision"/>
    <w:hidden/>
    <w:uiPriority w:val="99"/>
    <w:semiHidden/>
    <w:rsid w:val="00AC52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4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1468</Words>
  <Characters>838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LR URM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Puodžiūtė</dc:creator>
  <cp:keywords/>
  <dc:description/>
  <cp:lastModifiedBy>Žydrūnė Tursaitė</cp:lastModifiedBy>
  <cp:revision>3</cp:revision>
  <cp:lastPrinted>2024-11-15T10:51:00Z</cp:lastPrinted>
  <dcterms:created xsi:type="dcterms:W3CDTF">2024-11-15T15:51:00Z</dcterms:created>
  <dcterms:modified xsi:type="dcterms:W3CDTF">2024-11-15T15:53:00Z</dcterms:modified>
</cp:coreProperties>
</file>