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25D5" w14:textId="43A62F37" w:rsidR="000C59FE" w:rsidRPr="00924182" w:rsidRDefault="000C59FE" w:rsidP="003350E9">
      <w:pPr>
        <w:pStyle w:val="Betarp"/>
        <w:jc w:val="center"/>
        <w:rPr>
          <w:rFonts w:ascii="Times New Roman" w:hAnsi="Times New Roman" w:cs="Times New Roman"/>
          <w:b/>
          <w:bCs/>
          <w:sz w:val="24"/>
          <w:szCs w:val="24"/>
        </w:rPr>
      </w:pPr>
      <w:r w:rsidRPr="00924182">
        <w:rPr>
          <w:rFonts w:ascii="Times New Roman" w:hAnsi="Times New Roman" w:cs="Times New Roman"/>
          <w:b/>
          <w:bCs/>
          <w:sz w:val="24"/>
          <w:szCs w:val="24"/>
        </w:rPr>
        <w:t>LIETUVOS RESPUBLIKOS SPECIALIŲJŲ TYRIMŲ TARNYBOS ANTIKORUPCINIO VERTINIMO IŠVADOS</w:t>
      </w:r>
    </w:p>
    <w:p w14:paraId="1E426FF0" w14:textId="3F80590E" w:rsidR="007947E5" w:rsidRPr="00924182" w:rsidRDefault="007947E5" w:rsidP="003350E9">
      <w:pPr>
        <w:pStyle w:val="Betarp"/>
        <w:jc w:val="center"/>
        <w:rPr>
          <w:rFonts w:ascii="Times New Roman" w:hAnsi="Times New Roman" w:cs="Times New Roman"/>
          <w:b/>
          <w:bCs/>
          <w:sz w:val="24"/>
          <w:szCs w:val="24"/>
        </w:rPr>
      </w:pPr>
      <w:r w:rsidRPr="00924182">
        <w:rPr>
          <w:rFonts w:ascii="Times New Roman" w:hAnsi="Times New Roman" w:cs="Times New Roman"/>
          <w:b/>
          <w:bCs/>
          <w:sz w:val="24"/>
          <w:szCs w:val="24"/>
        </w:rPr>
        <w:t>DĖL SAUGAUS EISMO AUTOMOBILIŲ KELIAIS ĮSTATYMO PROJEKTO (TAIS NR. 26-3029)</w:t>
      </w:r>
      <w:r w:rsidR="00641A65" w:rsidRPr="00924182">
        <w:rPr>
          <w:rFonts w:ascii="Times New Roman" w:hAnsi="Times New Roman" w:cs="Times New Roman"/>
          <w:b/>
          <w:bCs/>
          <w:sz w:val="24"/>
          <w:szCs w:val="24"/>
        </w:rPr>
        <w:t xml:space="preserve"> (TOLIAU – IŠVADA)</w:t>
      </w:r>
    </w:p>
    <w:p w14:paraId="5BF903B6" w14:textId="6F1DB822" w:rsidR="00167470" w:rsidRPr="00924182" w:rsidRDefault="000C59FE" w:rsidP="003350E9">
      <w:pPr>
        <w:pStyle w:val="Betarp"/>
        <w:jc w:val="center"/>
        <w:rPr>
          <w:rFonts w:ascii="Times New Roman" w:hAnsi="Times New Roman" w:cs="Times New Roman"/>
          <w:b/>
          <w:bCs/>
          <w:sz w:val="24"/>
          <w:szCs w:val="24"/>
        </w:rPr>
      </w:pPr>
      <w:r w:rsidRPr="00924182">
        <w:rPr>
          <w:rFonts w:ascii="Times New Roman" w:hAnsi="Times New Roman" w:cs="Times New Roman"/>
          <w:b/>
          <w:bCs/>
          <w:sz w:val="24"/>
          <w:szCs w:val="24"/>
        </w:rPr>
        <w:t>ĮGYVENDINIMO PAŽYMA</w:t>
      </w:r>
    </w:p>
    <w:p w14:paraId="31AD6912" w14:textId="77777777" w:rsidR="00DC54A1" w:rsidRPr="00924182" w:rsidRDefault="00DC54A1" w:rsidP="003350E9">
      <w:pPr>
        <w:pStyle w:val="Betarp"/>
        <w:jc w:val="center"/>
        <w:rPr>
          <w:rFonts w:ascii="Times New Roman" w:hAnsi="Times New Roman" w:cs="Times New Roman"/>
          <w:b/>
          <w:bCs/>
          <w:sz w:val="24"/>
          <w:szCs w:val="24"/>
        </w:rPr>
      </w:pPr>
    </w:p>
    <w:tbl>
      <w:tblPr>
        <w:tblStyle w:val="Lentelstinklelis"/>
        <w:tblW w:w="14040" w:type="dxa"/>
        <w:tblLook w:val="04A0" w:firstRow="1" w:lastRow="0" w:firstColumn="1" w:lastColumn="0" w:noHBand="0" w:noVBand="1"/>
      </w:tblPr>
      <w:tblGrid>
        <w:gridCol w:w="1629"/>
        <w:gridCol w:w="7013"/>
        <w:gridCol w:w="4111"/>
        <w:gridCol w:w="1287"/>
      </w:tblGrid>
      <w:tr w:rsidR="00DD31DA" w:rsidRPr="00924182" w14:paraId="2966C1B4" w14:textId="77777777" w:rsidTr="004523F5">
        <w:tc>
          <w:tcPr>
            <w:tcW w:w="8642" w:type="dxa"/>
            <w:gridSpan w:val="2"/>
            <w:vAlign w:val="center"/>
          </w:tcPr>
          <w:p w14:paraId="29B11451" w14:textId="0FC90208" w:rsidR="00DD31DA" w:rsidRPr="00924182" w:rsidRDefault="00DD31DA" w:rsidP="003350E9">
            <w:pPr>
              <w:pStyle w:val="Betarp"/>
              <w:jc w:val="center"/>
              <w:rPr>
                <w:rFonts w:ascii="Times New Roman" w:hAnsi="Times New Roman" w:cs="Times New Roman"/>
                <w:b/>
                <w:bCs/>
                <w:sz w:val="24"/>
                <w:szCs w:val="24"/>
              </w:rPr>
            </w:pPr>
            <w:r w:rsidRPr="00924182">
              <w:rPr>
                <w:rFonts w:ascii="Times New Roman" w:hAnsi="Times New Roman" w:cs="Times New Roman"/>
                <w:b/>
                <w:bCs/>
                <w:i/>
                <w:sz w:val="24"/>
                <w:szCs w:val="24"/>
              </w:rPr>
              <w:t>STT pastabos ir pasiūlymai</w:t>
            </w:r>
          </w:p>
        </w:tc>
        <w:tc>
          <w:tcPr>
            <w:tcW w:w="4111" w:type="dxa"/>
            <w:vAlign w:val="center"/>
          </w:tcPr>
          <w:p w14:paraId="09652013" w14:textId="4B50094D" w:rsidR="00DD31DA" w:rsidRPr="00924182" w:rsidRDefault="00DD31DA" w:rsidP="003350E9">
            <w:pPr>
              <w:pStyle w:val="Betarp"/>
              <w:jc w:val="center"/>
              <w:rPr>
                <w:rFonts w:ascii="Times New Roman" w:hAnsi="Times New Roman" w:cs="Times New Roman"/>
                <w:b/>
                <w:bCs/>
                <w:sz w:val="24"/>
                <w:szCs w:val="24"/>
              </w:rPr>
            </w:pPr>
            <w:r w:rsidRPr="00924182">
              <w:rPr>
                <w:rFonts w:ascii="Times New Roman" w:hAnsi="Times New Roman" w:cs="Times New Roman"/>
                <w:b/>
                <w:bCs/>
                <w:i/>
                <w:sz w:val="24"/>
                <w:szCs w:val="24"/>
              </w:rPr>
              <w:t>Informacija apie pastabų ir pasiūlymų įgyvendinimą</w:t>
            </w:r>
          </w:p>
        </w:tc>
        <w:tc>
          <w:tcPr>
            <w:tcW w:w="1287" w:type="dxa"/>
            <w:vAlign w:val="center"/>
          </w:tcPr>
          <w:p w14:paraId="078C38AC" w14:textId="475C0FCF" w:rsidR="00DD31DA" w:rsidRPr="00924182" w:rsidRDefault="00DD31DA" w:rsidP="003350E9">
            <w:pPr>
              <w:pStyle w:val="Betarp"/>
              <w:jc w:val="center"/>
              <w:rPr>
                <w:rFonts w:ascii="Times New Roman" w:hAnsi="Times New Roman" w:cs="Times New Roman"/>
                <w:b/>
                <w:bCs/>
                <w:sz w:val="24"/>
                <w:szCs w:val="24"/>
              </w:rPr>
            </w:pPr>
            <w:r w:rsidRPr="00924182">
              <w:rPr>
                <w:rFonts w:ascii="Times New Roman" w:hAnsi="Times New Roman" w:cs="Times New Roman"/>
                <w:b/>
                <w:bCs/>
                <w:i/>
                <w:sz w:val="24"/>
                <w:szCs w:val="24"/>
              </w:rPr>
              <w:t>STT vertinimas</w:t>
            </w:r>
          </w:p>
        </w:tc>
      </w:tr>
      <w:tr w:rsidR="00DD31DA" w:rsidRPr="00924182" w14:paraId="0042470E" w14:textId="77777777" w:rsidTr="004523F5">
        <w:tc>
          <w:tcPr>
            <w:tcW w:w="1629" w:type="dxa"/>
          </w:tcPr>
          <w:p w14:paraId="6621D81A" w14:textId="32BEEA47" w:rsidR="00DD31DA" w:rsidRPr="00924182" w:rsidRDefault="00DD31DA" w:rsidP="00DD31DA">
            <w:pPr>
              <w:pStyle w:val="Betarp"/>
              <w:jc w:val="center"/>
              <w:rPr>
                <w:rFonts w:ascii="Times New Roman" w:hAnsi="Times New Roman" w:cs="Times New Roman"/>
                <w:b/>
                <w:bCs/>
                <w:sz w:val="24"/>
                <w:szCs w:val="24"/>
              </w:rPr>
            </w:pPr>
            <w:r w:rsidRPr="00924182">
              <w:rPr>
                <w:rFonts w:ascii="Times New Roman" w:hAnsi="Times New Roman" w:cs="Times New Roman"/>
                <w:sz w:val="24"/>
                <w:szCs w:val="24"/>
              </w:rPr>
              <w:t>Kritinės antikorupcinės pastabos ir pasiūlymai</w:t>
            </w:r>
          </w:p>
        </w:tc>
        <w:tc>
          <w:tcPr>
            <w:tcW w:w="7013" w:type="dxa"/>
          </w:tcPr>
          <w:p w14:paraId="51F15B84" w14:textId="77777777" w:rsidR="00DD31DA" w:rsidRPr="00924182" w:rsidRDefault="00DD31DA" w:rsidP="00DD31DA">
            <w:pPr>
              <w:suppressAutoHyphens/>
              <w:ind w:firstLine="530"/>
              <w:jc w:val="both"/>
              <w:rPr>
                <w:i/>
                <w:iCs/>
                <w:szCs w:val="24"/>
                <w:u w:val="single"/>
              </w:rPr>
            </w:pPr>
            <w:bookmarkStart w:id="0" w:name="_Hlk224280507"/>
            <w:r w:rsidRPr="00924182">
              <w:rPr>
                <w:i/>
                <w:iCs/>
                <w:szCs w:val="24"/>
                <w:u w:val="single"/>
              </w:rPr>
              <w:t>1.1</w:t>
            </w:r>
            <w:r w:rsidRPr="00924182">
              <w:rPr>
                <w:szCs w:val="24"/>
                <w:u w:val="single"/>
              </w:rPr>
              <w:t xml:space="preserve"> </w:t>
            </w:r>
            <w:r w:rsidRPr="00924182">
              <w:rPr>
                <w:i/>
                <w:iCs/>
                <w:szCs w:val="24"/>
                <w:u w:val="single"/>
              </w:rPr>
              <w:t>Projekto nuostatos gali sudaryti prielaidas papildomoms korupcijos rizikoms, neužtikrinti objektyvaus ir nešališko traktorių patikrinimo bei turėti neigiamos įtakos eismo saugumui</w:t>
            </w:r>
            <w:bookmarkEnd w:id="0"/>
          </w:p>
          <w:p w14:paraId="3350BD88" w14:textId="77777777" w:rsidR="00DD31DA" w:rsidRPr="00924182" w:rsidRDefault="00DD31DA" w:rsidP="00DD31DA">
            <w:pPr>
              <w:suppressAutoHyphens/>
              <w:ind w:firstLine="530"/>
              <w:jc w:val="both"/>
              <w:rPr>
                <w:i/>
                <w:iCs/>
                <w:szCs w:val="24"/>
                <w:u w:val="single"/>
              </w:rPr>
            </w:pPr>
          </w:p>
          <w:p w14:paraId="3B83D76F" w14:textId="77777777" w:rsidR="00DD31DA" w:rsidRPr="00924182" w:rsidRDefault="00DD31DA" w:rsidP="00DD31DA">
            <w:pPr>
              <w:suppressAutoHyphens/>
              <w:ind w:firstLine="530"/>
              <w:jc w:val="both"/>
              <w:rPr>
                <w:szCs w:val="24"/>
              </w:rPr>
            </w:pPr>
            <w:r w:rsidRPr="00924182">
              <w:rPr>
                <w:szCs w:val="24"/>
              </w:rPr>
              <w:t>Projekto 2 straipsnio 14 dalimi siūloma pakeisti Lietuvos Respublikos saugaus eismo automobilių keliais įstatymo (toliau – Įstatymas) 2 straipsnio („Pagrindinės šio įstatymo sąvokos“) 71 dalį ir nustatyti, kad (pateikiame lyginamąjį keičiamų nuostatų variantą):</w:t>
            </w:r>
          </w:p>
          <w:p w14:paraId="4BEC8CAC" w14:textId="77777777" w:rsidR="00DD31DA" w:rsidRPr="00924182" w:rsidRDefault="00DD31DA" w:rsidP="00DD31DA">
            <w:pPr>
              <w:pStyle w:val="Betarp"/>
              <w:ind w:firstLine="709"/>
              <w:jc w:val="both"/>
              <w:rPr>
                <w:rFonts w:ascii="Times New Roman" w:hAnsi="Times New Roman" w:cs="Times New Roman"/>
                <w:sz w:val="24"/>
                <w:szCs w:val="24"/>
              </w:rPr>
            </w:pPr>
            <w:r w:rsidRPr="00924182">
              <w:rPr>
                <w:rFonts w:ascii="Times New Roman" w:hAnsi="Times New Roman" w:cs="Times New Roman"/>
                <w:sz w:val="24"/>
                <w:szCs w:val="24"/>
                <w:lang w:eastAsia="lt-LT"/>
              </w:rPr>
              <w:t>„71. Techninis patikrinimas kelyje (toliau – techninis patikrinimas) – policijos ir (ar) Lietuvos transporto saugos administracijos atliekamas netikėtas M</w:t>
            </w:r>
            <w:r w:rsidRPr="00924182">
              <w:rPr>
                <w:rFonts w:ascii="Times New Roman" w:hAnsi="Times New Roman" w:cs="Times New Roman"/>
                <w:sz w:val="24"/>
                <w:szCs w:val="24"/>
                <w:vertAlign w:val="subscript"/>
                <w:lang w:eastAsia="lt-LT"/>
              </w:rPr>
              <w:t>2</w:t>
            </w:r>
            <w:r w:rsidRPr="00924182">
              <w:rPr>
                <w:rFonts w:ascii="Times New Roman" w:hAnsi="Times New Roman" w:cs="Times New Roman"/>
                <w:sz w:val="24"/>
                <w:szCs w:val="24"/>
                <w:lang w:eastAsia="lt-LT"/>
              </w:rPr>
              <w:t>, M</w:t>
            </w:r>
            <w:r w:rsidRPr="00924182">
              <w:rPr>
                <w:rFonts w:ascii="Times New Roman" w:hAnsi="Times New Roman" w:cs="Times New Roman"/>
                <w:sz w:val="24"/>
                <w:szCs w:val="24"/>
                <w:vertAlign w:val="subscript"/>
                <w:lang w:eastAsia="lt-LT"/>
              </w:rPr>
              <w:t>3</w:t>
            </w:r>
            <w:r w:rsidRPr="00924182">
              <w:rPr>
                <w:rFonts w:ascii="Times New Roman" w:hAnsi="Times New Roman" w:cs="Times New Roman"/>
                <w:sz w:val="24"/>
                <w:szCs w:val="24"/>
                <w:lang w:eastAsia="lt-LT"/>
              </w:rPr>
              <w:t>, N</w:t>
            </w:r>
            <w:r w:rsidRPr="00924182">
              <w:rPr>
                <w:rFonts w:ascii="Times New Roman" w:hAnsi="Times New Roman" w:cs="Times New Roman"/>
                <w:sz w:val="24"/>
                <w:szCs w:val="24"/>
                <w:vertAlign w:val="subscript"/>
                <w:lang w:eastAsia="lt-LT"/>
              </w:rPr>
              <w:t>2</w:t>
            </w:r>
            <w:r w:rsidRPr="00924182">
              <w:rPr>
                <w:rFonts w:ascii="Times New Roman" w:hAnsi="Times New Roman" w:cs="Times New Roman"/>
                <w:sz w:val="24"/>
                <w:szCs w:val="24"/>
                <w:lang w:eastAsia="lt-LT"/>
              </w:rPr>
              <w:t>, N</w:t>
            </w:r>
            <w:r w:rsidRPr="00924182">
              <w:rPr>
                <w:rFonts w:ascii="Times New Roman" w:hAnsi="Times New Roman" w:cs="Times New Roman"/>
                <w:sz w:val="24"/>
                <w:szCs w:val="24"/>
                <w:vertAlign w:val="subscript"/>
                <w:lang w:eastAsia="lt-LT"/>
              </w:rPr>
              <w:t>3</w:t>
            </w:r>
            <w:r w:rsidRPr="00924182">
              <w:rPr>
                <w:rFonts w:ascii="Times New Roman" w:hAnsi="Times New Roman" w:cs="Times New Roman"/>
                <w:sz w:val="24"/>
                <w:szCs w:val="24"/>
                <w:lang w:eastAsia="lt-LT"/>
              </w:rPr>
              <w:t>, O</w:t>
            </w:r>
            <w:r w:rsidRPr="00924182">
              <w:rPr>
                <w:rFonts w:ascii="Times New Roman" w:hAnsi="Times New Roman" w:cs="Times New Roman"/>
                <w:sz w:val="24"/>
                <w:szCs w:val="24"/>
                <w:vertAlign w:val="subscript"/>
                <w:lang w:eastAsia="lt-LT"/>
              </w:rPr>
              <w:t>3</w:t>
            </w:r>
            <w:r w:rsidRPr="00924182">
              <w:rPr>
                <w:rFonts w:ascii="Times New Roman" w:hAnsi="Times New Roman" w:cs="Times New Roman"/>
                <w:sz w:val="24"/>
                <w:szCs w:val="24"/>
                <w:lang w:eastAsia="lt-LT"/>
              </w:rPr>
              <w:t>, O</w:t>
            </w:r>
            <w:r w:rsidRPr="00924182">
              <w:rPr>
                <w:rFonts w:ascii="Times New Roman" w:hAnsi="Times New Roman" w:cs="Times New Roman"/>
                <w:sz w:val="24"/>
                <w:szCs w:val="24"/>
                <w:vertAlign w:val="subscript"/>
                <w:lang w:eastAsia="lt-LT"/>
              </w:rPr>
              <w:t>4</w:t>
            </w:r>
            <w:r w:rsidRPr="00924182">
              <w:rPr>
                <w:rFonts w:ascii="Times New Roman" w:hAnsi="Times New Roman" w:cs="Times New Roman"/>
                <w:sz w:val="24"/>
                <w:szCs w:val="24"/>
                <w:lang w:eastAsia="lt-LT"/>
              </w:rPr>
              <w:t xml:space="preserve"> klasių transporto priemonių, T</w:t>
            </w:r>
            <w:r w:rsidRPr="00924182">
              <w:rPr>
                <w:rFonts w:ascii="Times New Roman" w:hAnsi="Times New Roman" w:cs="Times New Roman"/>
                <w:sz w:val="24"/>
                <w:szCs w:val="24"/>
                <w:vertAlign w:val="subscript"/>
                <w:lang w:eastAsia="lt-LT"/>
              </w:rPr>
              <w:t>1b</w:t>
            </w:r>
            <w:r w:rsidRPr="00924182">
              <w:rPr>
                <w:rFonts w:ascii="Times New Roman" w:hAnsi="Times New Roman" w:cs="Times New Roman"/>
                <w:sz w:val="24"/>
                <w:szCs w:val="24"/>
                <w:lang w:eastAsia="lt-LT"/>
              </w:rPr>
              <w:t>, T</w:t>
            </w:r>
            <w:r w:rsidRPr="00924182">
              <w:rPr>
                <w:rFonts w:ascii="Times New Roman" w:hAnsi="Times New Roman" w:cs="Times New Roman"/>
                <w:sz w:val="24"/>
                <w:szCs w:val="24"/>
                <w:vertAlign w:val="subscript"/>
                <w:lang w:eastAsia="lt-LT"/>
              </w:rPr>
              <w:t>2b</w:t>
            </w:r>
            <w:r w:rsidRPr="00924182">
              <w:rPr>
                <w:rFonts w:ascii="Times New Roman" w:hAnsi="Times New Roman" w:cs="Times New Roman"/>
                <w:sz w:val="24"/>
                <w:szCs w:val="24"/>
                <w:lang w:eastAsia="lt-LT"/>
              </w:rPr>
              <w:t>, T</w:t>
            </w:r>
            <w:r w:rsidRPr="00924182">
              <w:rPr>
                <w:rFonts w:ascii="Times New Roman" w:hAnsi="Times New Roman" w:cs="Times New Roman"/>
                <w:sz w:val="24"/>
                <w:szCs w:val="24"/>
                <w:vertAlign w:val="subscript"/>
                <w:lang w:eastAsia="lt-LT"/>
              </w:rPr>
              <w:t>3b</w:t>
            </w:r>
            <w:r w:rsidRPr="00924182">
              <w:rPr>
                <w:rFonts w:ascii="Times New Roman" w:hAnsi="Times New Roman" w:cs="Times New Roman"/>
                <w:sz w:val="24"/>
                <w:szCs w:val="24"/>
                <w:lang w:eastAsia="lt-LT"/>
              </w:rPr>
              <w:t>, T</w:t>
            </w:r>
            <w:r w:rsidRPr="00924182">
              <w:rPr>
                <w:rFonts w:ascii="Times New Roman" w:hAnsi="Times New Roman" w:cs="Times New Roman"/>
                <w:sz w:val="24"/>
                <w:szCs w:val="24"/>
                <w:vertAlign w:val="subscript"/>
                <w:lang w:eastAsia="lt-LT"/>
              </w:rPr>
              <w:t>4.1b</w:t>
            </w:r>
            <w:r w:rsidRPr="00924182">
              <w:rPr>
                <w:rFonts w:ascii="Times New Roman" w:hAnsi="Times New Roman" w:cs="Times New Roman"/>
                <w:sz w:val="24"/>
                <w:szCs w:val="24"/>
                <w:lang w:eastAsia="lt-LT"/>
              </w:rPr>
              <w:t>, T</w:t>
            </w:r>
            <w:r w:rsidRPr="00924182">
              <w:rPr>
                <w:rFonts w:ascii="Times New Roman" w:hAnsi="Times New Roman" w:cs="Times New Roman"/>
                <w:sz w:val="24"/>
                <w:szCs w:val="24"/>
                <w:vertAlign w:val="subscript"/>
                <w:lang w:eastAsia="lt-LT"/>
              </w:rPr>
              <w:t>4.2b</w:t>
            </w:r>
            <w:r w:rsidRPr="00924182">
              <w:rPr>
                <w:rFonts w:ascii="Times New Roman" w:hAnsi="Times New Roman" w:cs="Times New Roman"/>
                <w:sz w:val="24"/>
                <w:szCs w:val="24"/>
                <w:lang w:eastAsia="lt-LT"/>
              </w:rPr>
              <w:t>, T</w:t>
            </w:r>
            <w:r w:rsidRPr="00924182">
              <w:rPr>
                <w:rFonts w:ascii="Times New Roman" w:hAnsi="Times New Roman" w:cs="Times New Roman"/>
                <w:sz w:val="24"/>
                <w:szCs w:val="24"/>
                <w:vertAlign w:val="subscript"/>
                <w:lang w:eastAsia="lt-LT"/>
              </w:rPr>
              <w:t xml:space="preserve">4.3b </w:t>
            </w:r>
            <w:r w:rsidRPr="00924182">
              <w:rPr>
                <w:rFonts w:ascii="Times New Roman" w:hAnsi="Times New Roman" w:cs="Times New Roman"/>
                <w:sz w:val="24"/>
                <w:szCs w:val="24"/>
                <w:lang w:eastAsia="lt-LT"/>
              </w:rPr>
              <w:t>ir T</w:t>
            </w:r>
            <w:r w:rsidRPr="00924182">
              <w:rPr>
                <w:rFonts w:ascii="Times New Roman" w:hAnsi="Times New Roman" w:cs="Times New Roman"/>
                <w:sz w:val="24"/>
                <w:szCs w:val="24"/>
                <w:vertAlign w:val="subscript"/>
                <w:lang w:eastAsia="lt-LT"/>
              </w:rPr>
              <w:t>5</w:t>
            </w:r>
            <w:r w:rsidRPr="00924182">
              <w:rPr>
                <w:rFonts w:ascii="Times New Roman" w:hAnsi="Times New Roman" w:cs="Times New Roman"/>
                <w:sz w:val="24"/>
                <w:szCs w:val="24"/>
                <w:lang w:eastAsia="lt-LT"/>
              </w:rPr>
              <w:t xml:space="preserve"> kategorijų ratinių traktorių, kurie dažniausiai naudojami viešuosiuose keliuose vežimams už atlygį ir kurių didžiausiasis projektinis greitis yra didesnis kaip 40 km/h, techninės būklės, krovinio išdėstymo ir (ar) pritvirtinimo patikrinimas </w:t>
            </w:r>
            <w:r w:rsidRPr="00924182">
              <w:rPr>
                <w:rFonts w:ascii="Times New Roman" w:hAnsi="Times New Roman" w:cs="Times New Roman"/>
                <w:strike/>
                <w:sz w:val="24"/>
                <w:szCs w:val="24"/>
                <w:lang w:eastAsia="lt-LT"/>
              </w:rPr>
              <w:t>kelyje</w:t>
            </w:r>
            <w:r w:rsidRPr="00924182">
              <w:rPr>
                <w:rFonts w:ascii="Times New Roman" w:hAnsi="Times New Roman" w:cs="Times New Roman"/>
                <w:sz w:val="24"/>
                <w:szCs w:val="24"/>
                <w:lang w:eastAsia="lt-LT"/>
              </w:rPr>
              <w:t>. Techninį patikrinimą sudaro pradinis techninis patikrinimas kelyje ir esant pagrįstam poreikiui išsamesnis techninis patikrinimas</w:t>
            </w:r>
            <w:r w:rsidRPr="00924182">
              <w:rPr>
                <w:rFonts w:ascii="Times New Roman" w:hAnsi="Times New Roman" w:cs="Times New Roman"/>
                <w:b/>
                <w:bCs/>
                <w:sz w:val="24"/>
                <w:szCs w:val="24"/>
                <w:lang w:eastAsia="lt-LT"/>
              </w:rPr>
              <w:t>,</w:t>
            </w:r>
            <w:r w:rsidRPr="00924182">
              <w:rPr>
                <w:rFonts w:ascii="Times New Roman" w:hAnsi="Times New Roman" w:cs="Times New Roman"/>
                <w:sz w:val="24"/>
                <w:szCs w:val="24"/>
              </w:rPr>
              <w:t xml:space="preserve"> </w:t>
            </w:r>
            <w:r w:rsidRPr="00924182">
              <w:rPr>
                <w:rFonts w:ascii="Times New Roman" w:hAnsi="Times New Roman" w:cs="Times New Roman"/>
                <w:b/>
                <w:bCs/>
                <w:sz w:val="24"/>
                <w:szCs w:val="24"/>
              </w:rPr>
              <w:t>kuris</w:t>
            </w:r>
            <w:r w:rsidRPr="00924182">
              <w:rPr>
                <w:rFonts w:ascii="Times New Roman" w:hAnsi="Times New Roman" w:cs="Times New Roman"/>
                <w:sz w:val="24"/>
                <w:szCs w:val="24"/>
              </w:rPr>
              <w:t xml:space="preserve"> </w:t>
            </w:r>
            <w:r w:rsidRPr="00924182">
              <w:rPr>
                <w:rFonts w:ascii="Times New Roman" w:hAnsi="Times New Roman" w:cs="Times New Roman"/>
                <w:b/>
                <w:bCs/>
                <w:sz w:val="24"/>
                <w:szCs w:val="24"/>
                <w:lang w:eastAsia="lt-LT"/>
              </w:rPr>
              <w:t>priklausomai nuo tikrinamos transporto priemonės rūšies, atliekamas</w:t>
            </w:r>
            <w:r w:rsidRPr="00924182">
              <w:rPr>
                <w:rFonts w:ascii="Times New Roman" w:hAnsi="Times New Roman" w:cs="Times New Roman"/>
                <w:sz w:val="24"/>
                <w:szCs w:val="24"/>
                <w:lang w:eastAsia="lt-LT"/>
              </w:rPr>
              <w:t xml:space="preserve"> techninės apžiūros įmonėje </w:t>
            </w:r>
            <w:r w:rsidRPr="00924182">
              <w:rPr>
                <w:rFonts w:ascii="Times New Roman" w:hAnsi="Times New Roman" w:cs="Times New Roman"/>
                <w:b/>
                <w:bCs/>
                <w:sz w:val="24"/>
                <w:szCs w:val="24"/>
                <w:lang w:eastAsia="lt-LT"/>
              </w:rPr>
              <w:t>arba</w:t>
            </w:r>
            <w:r w:rsidRPr="00924182">
              <w:rPr>
                <w:rFonts w:ascii="Times New Roman" w:hAnsi="Times New Roman" w:cs="Times New Roman"/>
                <w:sz w:val="24"/>
                <w:szCs w:val="24"/>
                <w:lang w:eastAsia="lt-LT"/>
              </w:rPr>
              <w:t xml:space="preserve"> </w:t>
            </w:r>
            <w:r w:rsidRPr="00924182">
              <w:rPr>
                <w:rFonts w:ascii="Times New Roman" w:hAnsi="Times New Roman" w:cs="Times New Roman"/>
                <w:b/>
                <w:bCs/>
                <w:sz w:val="24"/>
                <w:szCs w:val="24"/>
                <w:lang w:eastAsia="lt-LT"/>
              </w:rPr>
              <w:t>savivaldybės mero ar jo įgalioto savivaldybės administracijos direktoriaus nustatytoje vietoje</w:t>
            </w:r>
            <w:r w:rsidRPr="00924182">
              <w:rPr>
                <w:rFonts w:ascii="Times New Roman" w:hAnsi="Times New Roman" w:cs="Times New Roman"/>
                <w:sz w:val="24"/>
                <w:szCs w:val="24"/>
                <w:lang w:eastAsia="lt-LT"/>
              </w:rPr>
              <w:t>.“</w:t>
            </w:r>
          </w:p>
          <w:p w14:paraId="4CDD8A09" w14:textId="77777777" w:rsidR="00DD31DA" w:rsidRPr="00924182" w:rsidRDefault="00DD31DA" w:rsidP="00DD31DA">
            <w:pPr>
              <w:pBdr>
                <w:top w:val="nil"/>
                <w:left w:val="nil"/>
                <w:bottom w:val="nil"/>
                <w:right w:val="nil"/>
                <w:between w:val="nil"/>
              </w:pBdr>
              <w:ind w:firstLine="530"/>
              <w:jc w:val="both"/>
              <w:rPr>
                <w:szCs w:val="24"/>
              </w:rPr>
            </w:pPr>
            <w:r w:rsidRPr="00924182">
              <w:rPr>
                <w:szCs w:val="24"/>
              </w:rPr>
              <w:t>Specialiųjų tyrimų tarnybos vertinimu, minėtos Projekto nuostatos svarstytinos dėl šių aspektų:</w:t>
            </w:r>
          </w:p>
          <w:p w14:paraId="6A055628" w14:textId="77777777" w:rsidR="00DD31DA" w:rsidRPr="00924182" w:rsidRDefault="00DD31DA" w:rsidP="00DD31DA">
            <w:pPr>
              <w:pStyle w:val="Sraopastraipa"/>
              <w:spacing w:after="0" w:line="240" w:lineRule="auto"/>
              <w:ind w:left="0" w:firstLine="530"/>
              <w:jc w:val="both"/>
              <w:rPr>
                <w:rFonts w:ascii="Times New Roman" w:hAnsi="Times New Roman" w:cs="Times New Roman"/>
                <w:sz w:val="24"/>
                <w:szCs w:val="24"/>
              </w:rPr>
            </w:pPr>
            <w:r w:rsidRPr="00924182">
              <w:rPr>
                <w:rFonts w:ascii="Times New Roman" w:hAnsi="Times New Roman" w:cs="Times New Roman"/>
                <w:sz w:val="24"/>
                <w:szCs w:val="24"/>
              </w:rPr>
              <w:t xml:space="preserve">1.1.1. Pagal galiojančio Įstatymo nuostatas išsamesnis nurodytų transporto priemonių patikrinimas </w:t>
            </w:r>
            <w:r w:rsidRPr="00924182">
              <w:rPr>
                <w:rFonts w:ascii="Times New Roman" w:hAnsi="Times New Roman" w:cs="Times New Roman"/>
                <w:i/>
                <w:iCs/>
                <w:sz w:val="24"/>
                <w:szCs w:val="24"/>
              </w:rPr>
              <w:t>yra atliekamas techninės apžiūros įmonėse</w:t>
            </w:r>
            <w:r w:rsidRPr="00924182">
              <w:rPr>
                <w:rFonts w:ascii="Times New Roman" w:hAnsi="Times New Roman" w:cs="Times New Roman"/>
                <w:sz w:val="24"/>
                <w:szCs w:val="24"/>
              </w:rPr>
              <w:t xml:space="preserve">. Tuo tarpu pagal Projektu siūlomas nuostatas </w:t>
            </w:r>
            <w:r w:rsidRPr="00924182">
              <w:rPr>
                <w:rFonts w:ascii="Times New Roman" w:hAnsi="Times New Roman" w:cs="Times New Roman"/>
                <w:i/>
                <w:iCs/>
                <w:sz w:val="24"/>
                <w:szCs w:val="24"/>
              </w:rPr>
              <w:t>T</w:t>
            </w:r>
            <w:r w:rsidRPr="00924182">
              <w:rPr>
                <w:rFonts w:ascii="Times New Roman" w:hAnsi="Times New Roman" w:cs="Times New Roman"/>
                <w:i/>
                <w:iCs/>
                <w:sz w:val="24"/>
                <w:szCs w:val="24"/>
                <w:vertAlign w:val="subscript"/>
              </w:rPr>
              <w:t>1b</w:t>
            </w:r>
            <w:r w:rsidRPr="00924182">
              <w:rPr>
                <w:rFonts w:ascii="Times New Roman" w:hAnsi="Times New Roman" w:cs="Times New Roman"/>
                <w:i/>
                <w:iCs/>
                <w:sz w:val="24"/>
                <w:szCs w:val="24"/>
              </w:rPr>
              <w:t>, T</w:t>
            </w:r>
            <w:r w:rsidRPr="00924182">
              <w:rPr>
                <w:rFonts w:ascii="Times New Roman" w:hAnsi="Times New Roman" w:cs="Times New Roman"/>
                <w:i/>
                <w:iCs/>
                <w:sz w:val="24"/>
                <w:szCs w:val="24"/>
                <w:vertAlign w:val="subscript"/>
              </w:rPr>
              <w:t>2b</w:t>
            </w:r>
            <w:r w:rsidRPr="00924182">
              <w:rPr>
                <w:rFonts w:ascii="Times New Roman" w:hAnsi="Times New Roman" w:cs="Times New Roman"/>
                <w:i/>
                <w:iCs/>
                <w:sz w:val="24"/>
                <w:szCs w:val="24"/>
              </w:rPr>
              <w:t>, T</w:t>
            </w:r>
            <w:r w:rsidRPr="00924182">
              <w:rPr>
                <w:rFonts w:ascii="Times New Roman" w:hAnsi="Times New Roman" w:cs="Times New Roman"/>
                <w:i/>
                <w:iCs/>
                <w:sz w:val="24"/>
                <w:szCs w:val="24"/>
                <w:vertAlign w:val="subscript"/>
              </w:rPr>
              <w:t>3b</w:t>
            </w:r>
            <w:r w:rsidRPr="00924182">
              <w:rPr>
                <w:rFonts w:ascii="Times New Roman" w:hAnsi="Times New Roman" w:cs="Times New Roman"/>
                <w:i/>
                <w:iCs/>
                <w:sz w:val="24"/>
                <w:szCs w:val="24"/>
              </w:rPr>
              <w:t>, T</w:t>
            </w:r>
            <w:r w:rsidRPr="00924182">
              <w:rPr>
                <w:rFonts w:ascii="Times New Roman" w:hAnsi="Times New Roman" w:cs="Times New Roman"/>
                <w:i/>
                <w:iCs/>
                <w:sz w:val="24"/>
                <w:szCs w:val="24"/>
                <w:vertAlign w:val="subscript"/>
              </w:rPr>
              <w:t>4.1b</w:t>
            </w:r>
            <w:r w:rsidRPr="00924182">
              <w:rPr>
                <w:rFonts w:ascii="Times New Roman" w:hAnsi="Times New Roman" w:cs="Times New Roman"/>
                <w:i/>
                <w:iCs/>
                <w:sz w:val="24"/>
                <w:szCs w:val="24"/>
              </w:rPr>
              <w:t>, T</w:t>
            </w:r>
            <w:r w:rsidRPr="00924182">
              <w:rPr>
                <w:rFonts w:ascii="Times New Roman" w:hAnsi="Times New Roman" w:cs="Times New Roman"/>
                <w:i/>
                <w:iCs/>
                <w:sz w:val="24"/>
                <w:szCs w:val="24"/>
                <w:vertAlign w:val="subscript"/>
              </w:rPr>
              <w:t>4.2b</w:t>
            </w:r>
            <w:r w:rsidRPr="00924182">
              <w:rPr>
                <w:rFonts w:ascii="Times New Roman" w:hAnsi="Times New Roman" w:cs="Times New Roman"/>
                <w:i/>
                <w:iCs/>
                <w:sz w:val="24"/>
                <w:szCs w:val="24"/>
              </w:rPr>
              <w:t>, T</w:t>
            </w:r>
            <w:r w:rsidRPr="00924182">
              <w:rPr>
                <w:rFonts w:ascii="Times New Roman" w:hAnsi="Times New Roman" w:cs="Times New Roman"/>
                <w:i/>
                <w:iCs/>
                <w:sz w:val="24"/>
                <w:szCs w:val="24"/>
                <w:vertAlign w:val="subscript"/>
              </w:rPr>
              <w:t xml:space="preserve">4.3b </w:t>
            </w:r>
            <w:r w:rsidRPr="00924182">
              <w:rPr>
                <w:rFonts w:ascii="Times New Roman" w:hAnsi="Times New Roman" w:cs="Times New Roman"/>
                <w:i/>
                <w:iCs/>
                <w:sz w:val="24"/>
                <w:szCs w:val="24"/>
              </w:rPr>
              <w:t>ir T</w:t>
            </w:r>
            <w:r w:rsidRPr="00924182">
              <w:rPr>
                <w:rFonts w:ascii="Times New Roman" w:hAnsi="Times New Roman" w:cs="Times New Roman"/>
                <w:i/>
                <w:iCs/>
                <w:sz w:val="24"/>
                <w:szCs w:val="24"/>
                <w:vertAlign w:val="subscript"/>
              </w:rPr>
              <w:t>5</w:t>
            </w:r>
            <w:r w:rsidRPr="00924182">
              <w:rPr>
                <w:rFonts w:ascii="Times New Roman" w:hAnsi="Times New Roman" w:cs="Times New Roman"/>
                <w:i/>
                <w:iCs/>
                <w:sz w:val="24"/>
                <w:szCs w:val="24"/>
              </w:rPr>
              <w:t xml:space="preserve"> kategorijų ratinių traktorių, kurie dažniausiai naudojami viešuosiuose keliuose vežimams už atlygį ir kurių didžiausiasis projektinis greitis yra didesnis kaip 40 km/h</w:t>
            </w:r>
            <w:r w:rsidRPr="00924182">
              <w:rPr>
                <w:rFonts w:ascii="Times New Roman" w:hAnsi="Times New Roman" w:cs="Times New Roman"/>
                <w:sz w:val="24"/>
                <w:szCs w:val="24"/>
              </w:rPr>
              <w:t xml:space="preserve"> (toliau – traktoriai), </w:t>
            </w:r>
            <w:bookmarkStart w:id="1" w:name="_Hlk224217757"/>
            <w:r w:rsidRPr="00924182">
              <w:rPr>
                <w:rFonts w:ascii="Times New Roman" w:hAnsi="Times New Roman" w:cs="Times New Roman"/>
                <w:sz w:val="24"/>
                <w:szCs w:val="24"/>
              </w:rPr>
              <w:t xml:space="preserve">techninės būklės, krovinio išdėstymo ir (ar) pritvirtinimo išsamesnis patikrinimas </w:t>
            </w:r>
            <w:bookmarkEnd w:id="1"/>
            <w:r w:rsidRPr="00924182">
              <w:rPr>
                <w:rFonts w:ascii="Times New Roman" w:hAnsi="Times New Roman" w:cs="Times New Roman"/>
                <w:sz w:val="24"/>
                <w:szCs w:val="24"/>
              </w:rPr>
              <w:t xml:space="preserve">būtų atliekamas ne tokiose įmonėse, </w:t>
            </w:r>
            <w:r w:rsidRPr="00924182">
              <w:rPr>
                <w:rFonts w:ascii="Times New Roman" w:hAnsi="Times New Roman" w:cs="Times New Roman"/>
                <w:i/>
                <w:iCs/>
                <w:sz w:val="24"/>
                <w:szCs w:val="24"/>
              </w:rPr>
              <w:t xml:space="preserve">o </w:t>
            </w:r>
            <w:bookmarkStart w:id="2" w:name="_Hlk224278537"/>
            <w:r w:rsidRPr="00924182">
              <w:rPr>
                <w:rFonts w:ascii="Times New Roman" w:hAnsi="Times New Roman" w:cs="Times New Roman"/>
                <w:i/>
                <w:iCs/>
                <w:sz w:val="24"/>
                <w:szCs w:val="24"/>
              </w:rPr>
              <w:lastRenderedPageBreak/>
              <w:t>savivaldybės mero ar jo įgalioto savivaldybės administracijos direktoriaus nustatytoje vietoje</w:t>
            </w:r>
            <w:r w:rsidRPr="00924182">
              <w:rPr>
                <w:rFonts w:ascii="Times New Roman" w:hAnsi="Times New Roman" w:cs="Times New Roman"/>
                <w:sz w:val="24"/>
                <w:szCs w:val="24"/>
              </w:rPr>
              <w:t>.</w:t>
            </w:r>
            <w:bookmarkStart w:id="3" w:name="_Hlk224301225"/>
          </w:p>
          <w:p w14:paraId="69C72308" w14:textId="77777777" w:rsidR="00DD31DA" w:rsidRPr="00924182" w:rsidRDefault="00DD31DA" w:rsidP="00DD31DA">
            <w:pPr>
              <w:ind w:firstLine="530"/>
              <w:jc w:val="both"/>
              <w:rPr>
                <w:szCs w:val="24"/>
              </w:rPr>
            </w:pPr>
            <w:r w:rsidRPr="00924182">
              <w:rPr>
                <w:szCs w:val="24"/>
              </w:rPr>
              <w:t xml:space="preserve">Nors, manytina, minėtos nuostatos siūlomos atsižvelgiant į tai, kad šalyje veikiančios techninės apžiūros įmonės neteikia traktorių techninės apžiūros paslaugų, </w:t>
            </w:r>
            <w:bookmarkEnd w:id="2"/>
            <w:r w:rsidRPr="00924182">
              <w:rPr>
                <w:szCs w:val="24"/>
              </w:rPr>
              <w:t>atkreipiame dėmesį, kad Specialiųjų tyrimų tarnyba yra įgyvendinusi Lietuvos Respublikos korupcijos prevencijos įstatyme nustatytas priemones</w:t>
            </w:r>
            <w:r w:rsidRPr="00924182">
              <w:rPr>
                <w:szCs w:val="24"/>
                <w:vertAlign w:val="superscript"/>
              </w:rPr>
              <w:footnoteReference w:id="1"/>
            </w:r>
            <w:r w:rsidRPr="00924182">
              <w:rPr>
                <w:szCs w:val="24"/>
              </w:rPr>
              <w:t xml:space="preserve">, kurių metu </w:t>
            </w:r>
            <w:r w:rsidRPr="00924182">
              <w:rPr>
                <w:szCs w:val="24"/>
                <w:u w:val="single"/>
              </w:rPr>
              <w:t>identifikuotos</w:t>
            </w:r>
            <w:r w:rsidRPr="00924182">
              <w:rPr>
                <w:szCs w:val="24"/>
              </w:rPr>
              <w:t xml:space="preserve"> (taip pat jas pagrindžiant praktiniais pavyzdžiais ir faktinėmis aplinkybėmis) </w:t>
            </w:r>
            <w:r w:rsidRPr="00924182">
              <w:rPr>
                <w:szCs w:val="24"/>
                <w:u w:val="single"/>
              </w:rPr>
              <w:t>korupcijos rizikos traktorių, savaeigių ir žemės ūkio mašinų techninės apžiūros srityje</w:t>
            </w:r>
            <w:r w:rsidRPr="00924182">
              <w:rPr>
                <w:szCs w:val="24"/>
              </w:rPr>
              <w:t xml:space="preserve"> (</w:t>
            </w:r>
            <w:r w:rsidRPr="00924182">
              <w:rPr>
                <w:szCs w:val="24"/>
                <w:u w:val="single"/>
              </w:rPr>
              <w:t>pavyzdžiui, kad techninės apžiūros atliekamos nepakankamai patikrinus techninę būklę; egzistuoja galimybės subjektyviai vertinti technikos atitiktį nustatytiems reikalavimams; nepakankama techninės apžiūros veiklos kontrolė</w:t>
            </w:r>
            <w:r w:rsidRPr="00924182">
              <w:rPr>
                <w:szCs w:val="24"/>
              </w:rPr>
              <w:t xml:space="preserve"> ir kt.). Svarbu yra tai, kad nustatytos korupcijos </w:t>
            </w:r>
            <w:r w:rsidRPr="00924182">
              <w:rPr>
                <w:szCs w:val="24"/>
                <w:u w:val="single"/>
              </w:rPr>
              <w:t>rizikos susijusios būtent su savivaldybės atstovų veikla ir techninės apžiūros procesų įgyvendinimu</w:t>
            </w:r>
            <w:r w:rsidRPr="00924182">
              <w:rPr>
                <w:szCs w:val="24"/>
              </w:rPr>
              <w:t>. Nors reaguojant į Specialiųjų tyrimų tarnybos išvadas traktorių techninę apžiūrą reglamentuojantys teisės aktai buvo tikslinami, korupcijos rizikos veiksniai, kad transporto priemonių techninę apžiūrą atliekančių savivaldybės darbuotojų kontrolė yra nepakankama ir nevykdoma, o taip pat jų atžvilgiu netaikomi jokie kvalifikaciniai reikalavimai, išlieka aktualūs.</w:t>
            </w:r>
          </w:p>
          <w:p w14:paraId="1797D655" w14:textId="77777777" w:rsidR="00DD31DA" w:rsidRPr="00924182" w:rsidRDefault="00DD31DA" w:rsidP="00DD31DA">
            <w:pPr>
              <w:ind w:firstLine="672"/>
              <w:jc w:val="both"/>
              <w:rPr>
                <w:bCs/>
                <w:szCs w:val="24"/>
              </w:rPr>
            </w:pPr>
            <w:r w:rsidRPr="00924182">
              <w:rPr>
                <w:szCs w:val="24"/>
              </w:rPr>
              <w:t>Atsižvelgiant į tai, kad, Specialiųjų tyrimų tarnybos vertinimu, galiojantys teisės aktai kol kas neužtikrina objektyvaus ir nešališko šių funkcijų vykdymo, Specialiųjų tyrimų tarnyba minėtas Projekto nuostatas vertina kaip ydingas antikorupciniu požiūriu.</w:t>
            </w:r>
            <w:bookmarkEnd w:id="3"/>
          </w:p>
          <w:p w14:paraId="370627FD" w14:textId="77777777" w:rsidR="00DD31DA" w:rsidRPr="00924182" w:rsidRDefault="00DD31DA" w:rsidP="00DD31DA">
            <w:pPr>
              <w:suppressAutoHyphens/>
              <w:ind w:firstLine="672"/>
              <w:jc w:val="both"/>
              <w:rPr>
                <w:bCs/>
                <w:szCs w:val="24"/>
              </w:rPr>
            </w:pPr>
            <w:r w:rsidRPr="00924182">
              <w:rPr>
                <w:szCs w:val="24"/>
              </w:rPr>
              <w:t xml:space="preserve">1.1.2. Įgyvendinant Projekte siūlomas nuostatas gali susidaryti situacija, kai policijai ir (ar) Lietuvos transporto saugos administracijai atlikus pradinį traktoriaus techninės būklės, krovinio išdėstymo ir (ar) pritvirtinimo patikrinimą, </w:t>
            </w:r>
            <w:r w:rsidRPr="00924182">
              <w:rPr>
                <w:szCs w:val="24"/>
                <w:u w:val="single"/>
              </w:rPr>
              <w:t>išsamesnio patikrinimo metu būtų nustatyti techninių reikalavimų neatitikties pažeidimai, kurių nenustatė</w:t>
            </w:r>
            <w:r w:rsidRPr="00924182">
              <w:rPr>
                <w:szCs w:val="24"/>
              </w:rPr>
              <w:t xml:space="preserve"> (</w:t>
            </w:r>
            <w:r w:rsidRPr="00924182">
              <w:rPr>
                <w:szCs w:val="24"/>
                <w:u w:val="single"/>
              </w:rPr>
              <w:t xml:space="preserve">galimai ir veikdami neteisėtai) pagal galiojančius teisės aktus traktoriaus </w:t>
            </w:r>
            <w:r w:rsidRPr="00924182">
              <w:rPr>
                <w:szCs w:val="24"/>
                <w:u w:val="single"/>
              </w:rPr>
              <w:lastRenderedPageBreak/>
              <w:t>techninę apžiūrą „atlikę“ savivaldybės atstovai</w:t>
            </w:r>
            <w:r w:rsidRPr="00924182">
              <w:rPr>
                <w:szCs w:val="24"/>
              </w:rPr>
              <w:t xml:space="preserve">. Pagal Projekto nuostatas </w:t>
            </w:r>
            <w:r w:rsidRPr="00924182">
              <w:rPr>
                <w:szCs w:val="24"/>
                <w:u w:val="single"/>
              </w:rPr>
              <w:t xml:space="preserve">tokiais atvejais išsamesnis traktoriaus patikrinimas </w:t>
            </w:r>
            <w:r w:rsidRPr="00924182">
              <w:rPr>
                <w:szCs w:val="24"/>
              </w:rPr>
              <w:t xml:space="preserve">būtų atliekamas savivaldybės mero ar jo įgalioto savivaldybės administracijos direktoriaus nustatytoje vietoje ir, tikėtina, jį </w:t>
            </w:r>
            <w:r w:rsidRPr="00924182">
              <w:rPr>
                <w:szCs w:val="24"/>
                <w:u w:val="single"/>
              </w:rPr>
              <w:t>atliktų tas pats subjektas</w:t>
            </w:r>
            <w:r w:rsidRPr="00924182">
              <w:rPr>
                <w:szCs w:val="24"/>
              </w:rPr>
              <w:t xml:space="preserve"> – savivaldybės atstovas. Specialiųjų tyrimų tarnybos vertinimu, tokiu atveju Projekto nuostatų įgyvendinimas sudarytų prielaidas pasireikšti papildomiems korupcijos rizikos veiksniams, nes, pavyzdžiui, tiek traktoriaus valdytojas, tiek jo techninę apžiūrą atlikęs ir išsamesnį patikrinimą atliekantis subjektas (savivaldybės atstovas) yra suinteresuoti, kad išsamesnio patikrinimo rezultatai neprieštarautų anksčiau atliktos techninės apžiūros rezultatams. Be to, Projekto nuostatos neužtikrintų objektyvaus ir nešališko šių funkcijų vykdymo.</w:t>
            </w:r>
          </w:p>
          <w:p w14:paraId="4E947094" w14:textId="77777777" w:rsidR="004523F5" w:rsidRPr="00924182" w:rsidRDefault="00DD31DA" w:rsidP="004523F5">
            <w:pPr>
              <w:suppressAutoHyphens/>
              <w:ind w:firstLine="672"/>
              <w:jc w:val="both"/>
              <w:rPr>
                <w:szCs w:val="24"/>
              </w:rPr>
            </w:pPr>
            <w:r w:rsidRPr="00924182">
              <w:rPr>
                <w:szCs w:val="24"/>
              </w:rPr>
              <w:t xml:space="preserve">1.1.3. Atkreipiame dėmesį, kad Projekto nuostatos susijusios su teisiniu reglamentavimu, kuris būtų </w:t>
            </w:r>
            <w:r w:rsidRPr="00924182">
              <w:rPr>
                <w:i/>
                <w:iCs/>
                <w:szCs w:val="24"/>
              </w:rPr>
              <w:t>taikomas traktoriams, kurie dažniausiai naudojami viešuosiuose keliuose</w:t>
            </w:r>
            <w:r w:rsidRPr="00924182">
              <w:rPr>
                <w:szCs w:val="24"/>
              </w:rPr>
              <w:t>.</w:t>
            </w:r>
          </w:p>
          <w:p w14:paraId="3B6C42C0" w14:textId="5BF12E92" w:rsidR="00DD31DA" w:rsidRPr="00924182" w:rsidRDefault="00DD31DA" w:rsidP="004523F5">
            <w:pPr>
              <w:suppressAutoHyphens/>
              <w:ind w:firstLine="672"/>
              <w:jc w:val="both"/>
              <w:rPr>
                <w:b/>
                <w:bCs/>
                <w:szCs w:val="24"/>
              </w:rPr>
            </w:pPr>
            <w:r w:rsidRPr="00924182">
              <w:rPr>
                <w:szCs w:val="24"/>
              </w:rPr>
              <w:t>Kadangi Projekto nuostatų įgyvendinimas neužtikrintų objektyvaus ir nešališko išsamesnio traktorių techninės būklės patikrinimo, tai gali turėti neigiamos reikšmės įstatymu saugomoms vertybėms (pavyzdžiui: eismo dalyvių sveikatai ir gyvybei).</w:t>
            </w:r>
          </w:p>
        </w:tc>
        <w:tc>
          <w:tcPr>
            <w:tcW w:w="4111" w:type="dxa"/>
          </w:tcPr>
          <w:p w14:paraId="70FE1303" w14:textId="2B236205" w:rsidR="00DD31DA" w:rsidRPr="00924182" w:rsidRDefault="00DD31DA" w:rsidP="004523F5">
            <w:pPr>
              <w:ind w:left="57" w:right="57" w:firstLine="425"/>
              <w:contextualSpacing/>
              <w:jc w:val="both"/>
              <w:rPr>
                <w:szCs w:val="24"/>
              </w:rPr>
            </w:pPr>
            <w:r w:rsidRPr="00924182">
              <w:rPr>
                <w:szCs w:val="24"/>
              </w:rPr>
              <w:lastRenderedPageBreak/>
              <w:t xml:space="preserve">Išvadoje konstatuojama, kad STT 2023 m. atlikto tyrimo metu nustatytos korupcijos rizikos traktorių, savaeigių mašinų ir jų priekabų techninės apžiūros srityje buvo susijusios su savivaldybių atstovų veikla ir </w:t>
            </w:r>
            <w:r w:rsidR="00D1047D" w:rsidRPr="00924182">
              <w:rPr>
                <w:szCs w:val="24"/>
              </w:rPr>
              <w:t xml:space="preserve">traktorių, savaeigių mašinų ir jų priekabų </w:t>
            </w:r>
            <w:r w:rsidRPr="00924182">
              <w:rPr>
                <w:szCs w:val="24"/>
              </w:rPr>
              <w:t xml:space="preserve">techninės apžiūros procesų įgyvendinimu. Pavyzdžiui, </w:t>
            </w:r>
            <w:r w:rsidR="00D1047D" w:rsidRPr="00924182">
              <w:rPr>
                <w:szCs w:val="24"/>
              </w:rPr>
              <w:t xml:space="preserve">traktorių, savaeigių mašinų ir jų priekabų </w:t>
            </w:r>
            <w:r w:rsidRPr="00924182">
              <w:rPr>
                <w:szCs w:val="24"/>
              </w:rPr>
              <w:t xml:space="preserve">techninės apžiūros atliekamos nepakankamai patikrinus techninę būklę, egzistuoja galimybės subjektyviai vertinti technikos atitiktį nustatytiems reikalavimams, vykdoma nepakankama techninės apžiūros veiklos kontrolė ir kt. Taip pat išvadoje daroma prielaida dėl galimo interesų konflikto: jei policijos atlikto pradinio patikrinimo kelyje metu būtų nustatyti traktoriaus techninių reikalavimų neatitikimai, kurių (galimai ir veikdami neteisėtai) nepastebėjo apžiūrą atlikę savivaldybės atstovai, vėlesnį, išsamesnį patikrinimą vėl tektų atlikti tam pačiam suinteresuotam subjektui. Atkreiptinas dėmesys į tai, kad analogiška hipotetinė rizika egzistuoja ir motorinių transporto priemonių techninių patikrinimų kelyje srityje, tačiau iki šiol jokių pranešimų apie </w:t>
            </w:r>
            <w:r w:rsidRPr="00924182">
              <w:rPr>
                <w:szCs w:val="24"/>
              </w:rPr>
              <w:lastRenderedPageBreak/>
              <w:t xml:space="preserve">galimus korupcijos atvejus joje nebuvo gauta ar užfiksuota. </w:t>
            </w:r>
            <w:r w:rsidR="006243DB">
              <w:rPr>
                <w:szCs w:val="24"/>
              </w:rPr>
              <w:t xml:space="preserve">Pažymėtina, kad </w:t>
            </w:r>
            <w:r w:rsidR="006243DB" w:rsidRPr="00924182">
              <w:rPr>
                <w:szCs w:val="24"/>
              </w:rPr>
              <w:t>motorinių transporto priemonių technin</w:t>
            </w:r>
            <w:r w:rsidR="006243DB">
              <w:rPr>
                <w:szCs w:val="24"/>
              </w:rPr>
              <w:t xml:space="preserve">ės apžiūros srityje įdiegtos šias rizikas užkardančios priemonės, tokios kaip techninės apžiūros kontrolieriaus parinkimas atsitiktinumo principu, techninės apžiūros proceso filmavimas ir kt. </w:t>
            </w:r>
            <w:r w:rsidRPr="00924182">
              <w:rPr>
                <w:szCs w:val="24"/>
              </w:rPr>
              <w:t>Tai įgalina teigti, kad šios rizikos traktorių, savaeigių mašinų ir jų priekabų techninės apžiūros srityje kyla ne dėl Lietuvos Respublikos saugaus eismo automobilių keliais įstatyme (toliau – Įstatymas) nustatyto reglamentavimo trūkumų, o būtent dėl galimų poįstatyminio</w:t>
            </w:r>
            <w:r w:rsidR="005815E3" w:rsidRPr="00924182">
              <w:rPr>
                <w:szCs w:val="24"/>
              </w:rPr>
              <w:t xml:space="preserve"> traktorių, savaeigių mašinų ir jų priekabų</w:t>
            </w:r>
            <w:r w:rsidR="003E3ED7">
              <w:rPr>
                <w:szCs w:val="24"/>
              </w:rPr>
              <w:t xml:space="preserve"> techninės apžiūros</w:t>
            </w:r>
            <w:r w:rsidRPr="00924182">
              <w:rPr>
                <w:szCs w:val="24"/>
              </w:rPr>
              <w:t xml:space="preserve"> reglamentavimo spragų.</w:t>
            </w:r>
          </w:p>
          <w:p w14:paraId="5E2C5ABD" w14:textId="1B02548A" w:rsidR="00DD31DA" w:rsidRPr="00924182" w:rsidRDefault="00DD31DA" w:rsidP="004523F5">
            <w:pPr>
              <w:ind w:left="57" w:right="57" w:firstLine="427"/>
              <w:jc w:val="both"/>
              <w:rPr>
                <w:b/>
                <w:bCs/>
                <w:szCs w:val="24"/>
              </w:rPr>
            </w:pPr>
            <w:r w:rsidRPr="00924182">
              <w:rPr>
                <w:szCs w:val="24"/>
              </w:rPr>
              <w:t>Pažymėtina, kad  Įstatymo 10 straipsnio 6 dalies 3 punktas aiškiai įpareigoj</w:t>
            </w:r>
            <w:r w:rsidR="005B2F89">
              <w:rPr>
                <w:szCs w:val="24"/>
              </w:rPr>
              <w:t>a</w:t>
            </w:r>
            <w:r w:rsidRPr="00924182">
              <w:rPr>
                <w:szCs w:val="24"/>
              </w:rPr>
              <w:t xml:space="preserve"> Žemės ūkio ministerij</w:t>
            </w:r>
            <w:r w:rsidR="005A18CB">
              <w:rPr>
                <w:szCs w:val="24"/>
              </w:rPr>
              <w:t>ą</w:t>
            </w:r>
            <w:r w:rsidRPr="00924182">
              <w:rPr>
                <w:szCs w:val="24"/>
              </w:rPr>
              <w:t xml:space="preserve"> ar jos įgaliot</w:t>
            </w:r>
            <w:r w:rsidR="005A18CB">
              <w:rPr>
                <w:szCs w:val="24"/>
              </w:rPr>
              <w:t>a</w:t>
            </w:r>
            <w:r w:rsidRPr="00924182">
              <w:rPr>
                <w:szCs w:val="24"/>
              </w:rPr>
              <w:t>s institucij</w:t>
            </w:r>
            <w:r w:rsidR="005A18CB">
              <w:rPr>
                <w:szCs w:val="24"/>
              </w:rPr>
              <w:t>a</w:t>
            </w:r>
            <w:r w:rsidRPr="00924182">
              <w:rPr>
                <w:szCs w:val="24"/>
              </w:rPr>
              <w:t>s, užtikrinant eismo saugumą, nustatyti ir tvirtinti traktorių ir savaeigių mašinų techninės apžiūros tvarką ir techninius reikalavimus traktoriams</w:t>
            </w:r>
            <w:r w:rsidR="000B33F8">
              <w:rPr>
                <w:szCs w:val="24"/>
              </w:rPr>
              <w:t>,</w:t>
            </w:r>
            <w:r w:rsidRPr="00924182">
              <w:rPr>
                <w:szCs w:val="24"/>
              </w:rPr>
              <w:t xml:space="preserve"> savaeigėms mašinoms ir jų priekaboms. Be to, Lietuvos Respublikos teisėkūros pagrindų įstatymo 3 straipsnio 2 dalyje nustatyta, kad teisėkūroje vadovaujamasi </w:t>
            </w:r>
            <w:r w:rsidRPr="00924182">
              <w:rPr>
                <w:szCs w:val="24"/>
              </w:rPr>
              <w:lastRenderedPageBreak/>
              <w:t xml:space="preserve">principais, iš kurių vienas – efektyvumo principas. Jis reiškia, kad rengiant teisės akto projektą turi būti įvertinamos visos galimos teisinio reguliavimo alternatyvos ir pasirenkama geriausia iš jų, o pačiame teisės akte įtvirtinamos priemonės, leisiančios veiksmingiausiai ir ekonomiškiausiai pasiekti teisinio reguliavimo tikslą. Atsižvelgiant į tai, manome, kad </w:t>
            </w:r>
            <w:r w:rsidRPr="00924182">
              <w:rPr>
                <w:b/>
                <w:bCs/>
                <w:szCs w:val="24"/>
              </w:rPr>
              <w:t xml:space="preserve">identifikuotos rizikos dėl vykdomos traktorių, savaeigių mašinų ir jų priekabų techninės apžiūros objektyvumo gali būti sprendžiamos tobulinant </w:t>
            </w:r>
            <w:r w:rsidR="000A38A0">
              <w:rPr>
                <w:b/>
                <w:bCs/>
                <w:szCs w:val="24"/>
              </w:rPr>
              <w:t xml:space="preserve">ne </w:t>
            </w:r>
            <w:r w:rsidRPr="00924182">
              <w:rPr>
                <w:b/>
                <w:bCs/>
                <w:szCs w:val="24"/>
              </w:rPr>
              <w:t>Įstatym</w:t>
            </w:r>
            <w:r w:rsidR="000A38A0">
              <w:rPr>
                <w:b/>
                <w:bCs/>
                <w:szCs w:val="24"/>
              </w:rPr>
              <w:t xml:space="preserve">ą, o </w:t>
            </w:r>
            <w:r w:rsidR="008C2EDA">
              <w:rPr>
                <w:b/>
                <w:bCs/>
                <w:szCs w:val="24"/>
              </w:rPr>
              <w:t>nurodytą</w:t>
            </w:r>
            <w:r w:rsidRPr="00924182">
              <w:rPr>
                <w:b/>
                <w:bCs/>
                <w:szCs w:val="24"/>
              </w:rPr>
              <w:t xml:space="preserve"> </w:t>
            </w:r>
            <w:r w:rsidR="008C2EDA">
              <w:rPr>
                <w:b/>
                <w:bCs/>
                <w:szCs w:val="24"/>
              </w:rPr>
              <w:t xml:space="preserve">Įstatymo </w:t>
            </w:r>
            <w:r w:rsidRPr="00924182">
              <w:rPr>
                <w:b/>
                <w:bCs/>
                <w:szCs w:val="24"/>
              </w:rPr>
              <w:t>nuostatą įgyvendinantį (-</w:t>
            </w:r>
            <w:proofErr w:type="spellStart"/>
            <w:r w:rsidRPr="00924182">
              <w:rPr>
                <w:b/>
                <w:bCs/>
                <w:szCs w:val="24"/>
              </w:rPr>
              <w:t>čius</w:t>
            </w:r>
            <w:proofErr w:type="spellEnd"/>
            <w:r w:rsidRPr="00924182">
              <w:rPr>
                <w:b/>
                <w:bCs/>
                <w:szCs w:val="24"/>
              </w:rPr>
              <w:t>) teisės aktą (-</w:t>
            </w:r>
            <w:proofErr w:type="spellStart"/>
            <w:r w:rsidRPr="00924182">
              <w:rPr>
                <w:b/>
                <w:bCs/>
                <w:szCs w:val="24"/>
              </w:rPr>
              <w:t>us</w:t>
            </w:r>
            <w:proofErr w:type="spellEnd"/>
            <w:r w:rsidRPr="00924182">
              <w:rPr>
                <w:b/>
                <w:bCs/>
                <w:szCs w:val="24"/>
              </w:rPr>
              <w:t>).</w:t>
            </w:r>
          </w:p>
          <w:p w14:paraId="4576E22C" w14:textId="30361D6A" w:rsidR="00DD31DA" w:rsidRPr="00924182" w:rsidRDefault="00DD31DA" w:rsidP="004523F5">
            <w:pPr>
              <w:ind w:left="57" w:right="57" w:firstLine="427"/>
              <w:jc w:val="both"/>
              <w:rPr>
                <w:bCs/>
                <w:szCs w:val="24"/>
                <w:shd w:val="clear" w:color="auto" w:fill="FFFFFF"/>
              </w:rPr>
            </w:pPr>
            <w:r w:rsidRPr="00924182">
              <w:rPr>
                <w:bCs/>
                <w:szCs w:val="24"/>
                <w:shd w:val="clear" w:color="auto" w:fill="FFFFFF"/>
              </w:rPr>
              <w:t>Pažymėtina, kad Susisiekimo ministerija 2026 m. balandžio 22 d. suorganizavo pasitarimą su Specialiųjų tyrimų tarnybos atstovais, kurio metu buvo aptartos Išvados kritinės ir kitos pastabos dėl Projekto</w:t>
            </w:r>
            <w:r w:rsidRPr="00924182">
              <w:rPr>
                <w:rStyle w:val="Puslapioinaosnuoroda"/>
                <w:bCs/>
                <w:szCs w:val="24"/>
                <w:shd w:val="clear" w:color="auto" w:fill="FFFFFF"/>
              </w:rPr>
              <w:footnoteReference w:id="2"/>
            </w:r>
            <w:r w:rsidRPr="00924182">
              <w:rPr>
                <w:bCs/>
                <w:szCs w:val="24"/>
                <w:shd w:val="clear" w:color="auto" w:fill="FFFFFF"/>
              </w:rPr>
              <w:t xml:space="preserve">. Pasitarimo metu konstatuota, kad identifikuotos rizikos išlieka, tačiau nuspręsta </w:t>
            </w:r>
            <w:r w:rsidR="00B324C3">
              <w:rPr>
                <w:bCs/>
                <w:szCs w:val="24"/>
                <w:shd w:val="clear" w:color="auto" w:fill="FFFFFF"/>
              </w:rPr>
              <w:t>tuo</w:t>
            </w:r>
            <w:r w:rsidRPr="00924182">
              <w:rPr>
                <w:bCs/>
                <w:szCs w:val="24"/>
                <w:shd w:val="clear" w:color="auto" w:fill="FFFFFF"/>
              </w:rPr>
              <w:t xml:space="preserve"> metu (pasirengimo svarstyti Lietuvos Respublikos Vyriausybėje stadijoje) Projekto nuostatų nekeisti, nes tai pareikalautų papildomų derinimo procedūrų ir gilesnės </w:t>
            </w:r>
            <w:r w:rsidR="00B324C3" w:rsidRPr="00924182">
              <w:rPr>
                <w:szCs w:val="24"/>
              </w:rPr>
              <w:t xml:space="preserve">traktorių, savaeigių mašinų ir jų priekabų techninės apžiūros </w:t>
            </w:r>
            <w:r w:rsidRPr="00924182">
              <w:rPr>
                <w:bCs/>
                <w:szCs w:val="24"/>
                <w:shd w:val="clear" w:color="auto" w:fill="FFFFFF"/>
              </w:rPr>
              <w:t xml:space="preserve">situacijos analizės ir </w:t>
            </w:r>
            <w:r w:rsidRPr="00924182">
              <w:rPr>
                <w:bCs/>
                <w:szCs w:val="24"/>
                <w:shd w:val="clear" w:color="auto" w:fill="FFFFFF"/>
              </w:rPr>
              <w:lastRenderedPageBreak/>
              <w:t>sprendimo būdų paieškos</w:t>
            </w:r>
            <w:r w:rsidR="00B324C3">
              <w:rPr>
                <w:bCs/>
                <w:szCs w:val="24"/>
                <w:shd w:val="clear" w:color="auto" w:fill="FFFFFF"/>
              </w:rPr>
              <w:t xml:space="preserve">, </w:t>
            </w:r>
            <w:r w:rsidR="00437A4E" w:rsidRPr="00437A4E">
              <w:rPr>
                <w:bCs/>
                <w:szCs w:val="24"/>
                <w:shd w:val="clear" w:color="auto" w:fill="FFFFFF"/>
              </w:rPr>
              <w:t>kas viršytų šio Projekto apimtį ir pirminius tikslus</w:t>
            </w:r>
            <w:r w:rsidR="00437A4E">
              <w:rPr>
                <w:bCs/>
                <w:szCs w:val="24"/>
                <w:shd w:val="clear" w:color="auto" w:fill="FFFFFF"/>
              </w:rPr>
              <w:t>.</w:t>
            </w:r>
            <w:r w:rsidR="00437A4E" w:rsidRPr="00437A4E">
              <w:rPr>
                <w:bCs/>
                <w:szCs w:val="24"/>
                <w:shd w:val="clear" w:color="auto" w:fill="FFFFFF"/>
              </w:rPr>
              <w:t xml:space="preserve"> </w:t>
            </w:r>
            <w:r w:rsidR="00437A4E">
              <w:rPr>
                <w:bCs/>
                <w:szCs w:val="24"/>
                <w:shd w:val="clear" w:color="auto" w:fill="FFFFFF"/>
              </w:rPr>
              <w:t>K</w:t>
            </w:r>
            <w:r w:rsidR="00437A4E" w:rsidRPr="00437A4E">
              <w:rPr>
                <w:bCs/>
                <w:szCs w:val="24"/>
                <w:shd w:val="clear" w:color="auto" w:fill="FFFFFF"/>
              </w:rPr>
              <w:t>artu nuspręst</w:t>
            </w:r>
            <w:r w:rsidR="00437A4E">
              <w:rPr>
                <w:bCs/>
                <w:szCs w:val="24"/>
                <w:shd w:val="clear" w:color="auto" w:fill="FFFFFF"/>
              </w:rPr>
              <w:t>a</w:t>
            </w:r>
            <w:r w:rsidR="00437A4E" w:rsidRPr="00437A4E" w:rsidDel="00437A4E">
              <w:rPr>
                <w:bCs/>
                <w:szCs w:val="24"/>
                <w:shd w:val="clear" w:color="auto" w:fill="FFFFFF"/>
              </w:rPr>
              <w:t xml:space="preserve"> </w:t>
            </w:r>
            <w:r w:rsidRPr="00924182">
              <w:rPr>
                <w:bCs/>
                <w:szCs w:val="24"/>
                <w:shd w:val="clear" w:color="auto" w:fill="FFFFFF"/>
              </w:rPr>
              <w:t>atkreipti Žemės ūkio ministerijos ir Lietuvos savivaldybių asociacijos (savivaldybių) dėmesį į tai, kad jos, būdamos atsakingos už traktorių</w:t>
            </w:r>
            <w:r w:rsidR="00B4390B">
              <w:rPr>
                <w:bCs/>
                <w:szCs w:val="24"/>
                <w:shd w:val="clear" w:color="auto" w:fill="FFFFFF"/>
              </w:rPr>
              <w:t>, savaeigių mašinų ir jų priekabų</w:t>
            </w:r>
            <w:r w:rsidRPr="00924182">
              <w:rPr>
                <w:bCs/>
                <w:szCs w:val="24"/>
                <w:shd w:val="clear" w:color="auto" w:fill="FFFFFF"/>
              </w:rPr>
              <w:t xml:space="preserve"> techninės apžiūros organizavimą ir įgyvendindamos Projekte siūlomas nuostatas (išsamesnius traktorių patikrinimus atlikti savivaldybės vietose), turėtų imtis priemonių, kad minėtos rizikos būtų pašalintos (minimizuotos) poįstatyminių teisės aktų nuostatomis ir konkrečiais organizaciniais darbais.</w:t>
            </w:r>
          </w:p>
          <w:p w14:paraId="43498968" w14:textId="77777777" w:rsidR="00DD31DA" w:rsidRPr="00924182" w:rsidRDefault="00DD31DA" w:rsidP="004523F5">
            <w:pPr>
              <w:pStyle w:val="Betarp"/>
              <w:ind w:left="57" w:right="57"/>
              <w:jc w:val="center"/>
              <w:rPr>
                <w:rFonts w:ascii="Times New Roman" w:hAnsi="Times New Roman" w:cs="Times New Roman"/>
                <w:b/>
                <w:bCs/>
                <w:sz w:val="24"/>
                <w:szCs w:val="24"/>
              </w:rPr>
            </w:pPr>
          </w:p>
        </w:tc>
        <w:tc>
          <w:tcPr>
            <w:tcW w:w="1287" w:type="dxa"/>
          </w:tcPr>
          <w:p w14:paraId="77292375" w14:textId="77777777" w:rsidR="00DD31DA" w:rsidRPr="00924182" w:rsidRDefault="00DD31DA" w:rsidP="00DD31DA">
            <w:pPr>
              <w:pStyle w:val="Betarp"/>
              <w:jc w:val="center"/>
              <w:rPr>
                <w:rFonts w:ascii="Times New Roman" w:hAnsi="Times New Roman" w:cs="Times New Roman"/>
                <w:b/>
                <w:bCs/>
                <w:sz w:val="24"/>
                <w:szCs w:val="24"/>
              </w:rPr>
            </w:pPr>
          </w:p>
        </w:tc>
      </w:tr>
      <w:tr w:rsidR="00DD31DA" w:rsidRPr="00924182" w14:paraId="684BD997" w14:textId="77777777" w:rsidTr="004523F5">
        <w:tc>
          <w:tcPr>
            <w:tcW w:w="1629" w:type="dxa"/>
          </w:tcPr>
          <w:p w14:paraId="4C4AA9F8" w14:textId="77777777" w:rsidR="00DD31DA" w:rsidRPr="00924182" w:rsidRDefault="00DD31DA" w:rsidP="00DD31DA">
            <w:pPr>
              <w:pStyle w:val="Betarp"/>
              <w:rPr>
                <w:rFonts w:ascii="Times New Roman" w:hAnsi="Times New Roman" w:cs="Times New Roman"/>
                <w:sz w:val="24"/>
                <w:szCs w:val="24"/>
              </w:rPr>
            </w:pPr>
            <w:r w:rsidRPr="00924182">
              <w:rPr>
                <w:rFonts w:ascii="Times New Roman" w:hAnsi="Times New Roman" w:cs="Times New Roman"/>
                <w:sz w:val="24"/>
                <w:szCs w:val="24"/>
              </w:rPr>
              <w:lastRenderedPageBreak/>
              <w:t>Kitos antikorupcinės pastabos ir pasiūlymai</w:t>
            </w:r>
          </w:p>
          <w:p w14:paraId="09AC87D5" w14:textId="77777777" w:rsidR="00DD31DA" w:rsidRPr="00924182" w:rsidRDefault="00DD31DA" w:rsidP="00DD31DA">
            <w:pPr>
              <w:pStyle w:val="Betarp"/>
              <w:jc w:val="center"/>
              <w:rPr>
                <w:rFonts w:ascii="Times New Roman" w:hAnsi="Times New Roman" w:cs="Times New Roman"/>
                <w:b/>
                <w:bCs/>
                <w:sz w:val="24"/>
                <w:szCs w:val="24"/>
              </w:rPr>
            </w:pPr>
          </w:p>
        </w:tc>
        <w:tc>
          <w:tcPr>
            <w:tcW w:w="7013" w:type="dxa"/>
          </w:tcPr>
          <w:p w14:paraId="61F11405" w14:textId="77777777" w:rsidR="00DD31DA" w:rsidRPr="00924182" w:rsidRDefault="00DD31DA" w:rsidP="00DD31DA">
            <w:pPr>
              <w:suppressAutoHyphens/>
              <w:ind w:firstLine="672"/>
              <w:jc w:val="both"/>
              <w:rPr>
                <w:i/>
                <w:iCs/>
                <w:szCs w:val="24"/>
              </w:rPr>
            </w:pPr>
            <w:r w:rsidRPr="00924182">
              <w:rPr>
                <w:i/>
                <w:iCs/>
                <w:szCs w:val="24"/>
              </w:rPr>
              <w:t>2.1. Projektu siūlomas teisinis reglamentavimas būtų taikomas tik motorinėms transporto priemonėms ir jų priekaboms, tačiau analogiškas reguliavimas nenumatomas kitoms transporto priemonėms, kurių techninės būklės kontrolė taip pat svarbi užtikrinant viešuosius visuomenės interesus</w:t>
            </w:r>
          </w:p>
          <w:p w14:paraId="7899E6A5" w14:textId="77777777" w:rsidR="00DD31DA" w:rsidRPr="00924182" w:rsidRDefault="00DD31DA" w:rsidP="00DD31DA">
            <w:pPr>
              <w:ind w:firstLine="709"/>
              <w:jc w:val="both"/>
              <w:rPr>
                <w:szCs w:val="24"/>
              </w:rPr>
            </w:pPr>
          </w:p>
          <w:p w14:paraId="4332382F" w14:textId="77777777" w:rsidR="00DD31DA" w:rsidRPr="00924182" w:rsidRDefault="00DD31DA" w:rsidP="00DD31DA">
            <w:pPr>
              <w:ind w:firstLine="709"/>
              <w:jc w:val="both"/>
              <w:rPr>
                <w:szCs w:val="24"/>
              </w:rPr>
            </w:pPr>
            <w:r w:rsidRPr="00924182">
              <w:rPr>
                <w:szCs w:val="24"/>
              </w:rPr>
              <w:t>Projekto 12 straipsniu siūloma Įstatymo 29 straipsnį („Motorinių transporto priemonių ir priekabų privalomoji techninė apžiūra ir techninė ekspertizė“) papildyti 1</w:t>
            </w:r>
            <w:r w:rsidRPr="00924182">
              <w:rPr>
                <w:szCs w:val="24"/>
                <w:vertAlign w:val="superscript"/>
              </w:rPr>
              <w:t>1</w:t>
            </w:r>
            <w:r w:rsidRPr="00924182">
              <w:rPr>
                <w:szCs w:val="24"/>
              </w:rPr>
              <w:t xml:space="preserve"> dalimi ir nustatyti, kad:</w:t>
            </w:r>
          </w:p>
          <w:p w14:paraId="78A240CE" w14:textId="77777777" w:rsidR="00DD31DA" w:rsidRPr="00924182" w:rsidRDefault="00DD31DA" w:rsidP="00DD31DA">
            <w:pPr>
              <w:suppressAutoHyphens/>
              <w:ind w:firstLine="672"/>
              <w:jc w:val="both"/>
              <w:rPr>
                <w:szCs w:val="24"/>
              </w:rPr>
            </w:pPr>
            <w:r w:rsidRPr="00924182">
              <w:rPr>
                <w:szCs w:val="24"/>
              </w:rPr>
              <w:t>„1</w:t>
            </w:r>
            <w:r w:rsidRPr="00924182">
              <w:rPr>
                <w:szCs w:val="24"/>
                <w:vertAlign w:val="superscript"/>
              </w:rPr>
              <w:t>1</w:t>
            </w:r>
            <w:r w:rsidRPr="00924182">
              <w:rPr>
                <w:szCs w:val="24"/>
              </w:rPr>
              <w:t xml:space="preserve">. Nustačius, kad privalomoji techninė apžiūra buvo atlikta pažeidžiant nustatytus privalomosios techninės apžiūros atlikimo tvarkos reikalavimus arba atliekant techninės apžiūros įmonės vertinimą dėl akreditavimo šio įstatymo 29 straipsnio 4 dalyje nurodytam standartui nustatoma neatitiktis, kurios pašalinimui reikalingas išduotos privalomosios techninės apžiūros ataskaitos taisymas arba anuliavimas dėl galimai klaidingo kontrolės rezultato, techninės apžiūros įmonė, išdavusi privalomosios techninės apžiūros ataskaitą, privalo nedelsdama imtis veiksmų, kad transporto priemonės valdytojas (savininkas) būtų informuotas apie tai, kad jo valdoma </w:t>
            </w:r>
            <w:r w:rsidRPr="00924182">
              <w:rPr>
                <w:szCs w:val="24"/>
              </w:rPr>
              <w:lastRenderedPageBreak/>
              <w:t>transporto priemonė gali kelti arba kelia grėsmę eismo saugumui, gali daryti arba daro kenksmingą (neigiamą) poveikį aplinkai.“</w:t>
            </w:r>
          </w:p>
          <w:p w14:paraId="039D27F5" w14:textId="77777777" w:rsidR="00DD31DA" w:rsidRPr="00924182" w:rsidRDefault="00DD31DA" w:rsidP="00DD31DA">
            <w:pPr>
              <w:ind w:firstLine="709"/>
              <w:jc w:val="both"/>
              <w:rPr>
                <w:szCs w:val="24"/>
              </w:rPr>
            </w:pPr>
            <w:r w:rsidRPr="00924182">
              <w:rPr>
                <w:szCs w:val="24"/>
              </w:rPr>
              <w:t>Projekto 12 straipsniu siūlomi Įstatymo 29 straipsnio 2 dalies pakeitimai (Projektu siūlomos nuostatos išskirtos pasvyruoju šriftu), kad:</w:t>
            </w:r>
          </w:p>
          <w:p w14:paraId="3F12A511" w14:textId="77777777" w:rsidR="00DD31DA" w:rsidRPr="00924182" w:rsidRDefault="00DD31DA" w:rsidP="00DD31DA">
            <w:pPr>
              <w:ind w:firstLine="709"/>
              <w:jc w:val="both"/>
              <w:rPr>
                <w:i/>
                <w:iCs/>
                <w:szCs w:val="24"/>
                <w:u w:val="single"/>
              </w:rPr>
            </w:pPr>
            <w:r w:rsidRPr="00924182">
              <w:rPr>
                <w:szCs w:val="24"/>
              </w:rPr>
              <w:t>„2. Šio įstatymo 25 straipsnio 6 ir 7</w:t>
            </w:r>
            <w:r w:rsidRPr="00924182">
              <w:rPr>
                <w:i/>
                <w:iCs/>
                <w:szCs w:val="24"/>
              </w:rPr>
              <w:t xml:space="preserve">, </w:t>
            </w:r>
            <w:r w:rsidRPr="00924182">
              <w:rPr>
                <w:i/>
                <w:iCs/>
                <w:szCs w:val="24"/>
                <w:u w:val="single"/>
              </w:rPr>
              <w:t>29 straipsnio 1</w:t>
            </w:r>
            <w:r w:rsidRPr="00924182">
              <w:rPr>
                <w:i/>
                <w:iCs/>
                <w:szCs w:val="24"/>
                <w:u w:val="single"/>
                <w:vertAlign w:val="superscript"/>
              </w:rPr>
              <w:t>1</w:t>
            </w:r>
            <w:r w:rsidRPr="00924182">
              <w:rPr>
                <w:b/>
                <w:bCs/>
                <w:szCs w:val="24"/>
              </w:rPr>
              <w:t xml:space="preserve"> </w:t>
            </w:r>
            <w:r w:rsidRPr="00924182">
              <w:rPr>
                <w:szCs w:val="24"/>
              </w:rPr>
              <w:t>dalyse nurodytais atvejais motorinių transporto priemonių, priekabų valdytojai privalo pateikti jas privalomajai</w:t>
            </w:r>
            <w:r w:rsidRPr="00924182">
              <w:rPr>
                <w:b/>
                <w:bCs/>
                <w:szCs w:val="24"/>
              </w:rPr>
              <w:t xml:space="preserve"> </w:t>
            </w:r>
            <w:r w:rsidRPr="00924182">
              <w:rPr>
                <w:szCs w:val="24"/>
              </w:rPr>
              <w:t>neeilinei</w:t>
            </w:r>
            <w:r w:rsidRPr="00924182">
              <w:rPr>
                <w:b/>
                <w:bCs/>
                <w:szCs w:val="24"/>
              </w:rPr>
              <w:t xml:space="preserve"> </w:t>
            </w:r>
            <w:r w:rsidRPr="00924182">
              <w:rPr>
                <w:szCs w:val="24"/>
              </w:rPr>
              <w:t>techninei</w:t>
            </w:r>
            <w:r w:rsidRPr="00924182">
              <w:rPr>
                <w:b/>
                <w:bCs/>
                <w:szCs w:val="24"/>
              </w:rPr>
              <w:t xml:space="preserve"> </w:t>
            </w:r>
            <w:r w:rsidRPr="00924182">
              <w:rPr>
                <w:szCs w:val="24"/>
              </w:rPr>
              <w:t xml:space="preserve">apžiūrai. </w:t>
            </w:r>
            <w:r w:rsidRPr="00924182">
              <w:rPr>
                <w:i/>
                <w:iCs/>
                <w:szCs w:val="24"/>
                <w:u w:val="single"/>
              </w:rPr>
              <w:t>&lt;...&gt;“</w:t>
            </w:r>
          </w:p>
          <w:p w14:paraId="49534675" w14:textId="77777777" w:rsidR="00DD31DA" w:rsidRPr="00924182" w:rsidRDefault="00DD31DA" w:rsidP="00DD31DA">
            <w:pPr>
              <w:ind w:firstLine="709"/>
              <w:jc w:val="both"/>
              <w:rPr>
                <w:szCs w:val="24"/>
              </w:rPr>
            </w:pPr>
          </w:p>
          <w:p w14:paraId="1AC2C2B5" w14:textId="77777777" w:rsidR="00DD31DA" w:rsidRPr="00924182" w:rsidRDefault="00DD31DA" w:rsidP="00DD31DA">
            <w:pPr>
              <w:ind w:firstLine="709"/>
              <w:jc w:val="both"/>
              <w:rPr>
                <w:szCs w:val="24"/>
              </w:rPr>
            </w:pPr>
            <w:r w:rsidRPr="00924182">
              <w:rPr>
                <w:szCs w:val="24"/>
              </w:rPr>
              <w:t>Projektu siūlomų Įstatymo 29 straipsnio 1</w:t>
            </w:r>
            <w:r w:rsidRPr="00924182">
              <w:rPr>
                <w:szCs w:val="24"/>
                <w:vertAlign w:val="superscript"/>
              </w:rPr>
              <w:t>1</w:t>
            </w:r>
            <w:r w:rsidRPr="00924182">
              <w:rPr>
                <w:szCs w:val="24"/>
              </w:rPr>
              <w:t xml:space="preserve"> ir 12 dalių nuostatų tikslas, kaip nurodo Projekto rengėjai, yra pašalinti teisinę spragą</w:t>
            </w:r>
            <w:r w:rsidRPr="00924182">
              <w:rPr>
                <w:rStyle w:val="Puslapioinaosnuoroda"/>
                <w:szCs w:val="24"/>
              </w:rPr>
              <w:footnoteReference w:id="3"/>
            </w:r>
            <w:r w:rsidRPr="00924182">
              <w:rPr>
                <w:szCs w:val="24"/>
              </w:rPr>
              <w:t>, nustatant teisinį reglamentavimą, kuris leistų, kilus pagrįstų abejonių dėl automobilių techninės apžiūros objektyvumo ir šių automobilių techninės būklės atitikties nustatytiems reikalavimams, įpareigoti transporto priemonių valdytojus (savininkus) pateikti transporto priemones neeilinei techninei apžiūrai, o to nepadarius – sudaryti teisines prielaidas panaikinti tokių transporto priemonių techninės apžiūros dokumentų galiojimą.</w:t>
            </w:r>
          </w:p>
          <w:p w14:paraId="346902BD" w14:textId="77777777" w:rsidR="004523F5" w:rsidRPr="00924182" w:rsidRDefault="00DD31DA" w:rsidP="004523F5">
            <w:pPr>
              <w:ind w:firstLine="709"/>
              <w:jc w:val="both"/>
              <w:rPr>
                <w:szCs w:val="24"/>
              </w:rPr>
            </w:pPr>
            <w:r w:rsidRPr="00924182">
              <w:rPr>
                <w:szCs w:val="24"/>
              </w:rPr>
              <w:t>Specialiųjų tyrimų tarnyba atkreipia dėmesį, kad Projektu siūlomos nuostatos būtų taikomos tik motorinių transporto priemonių ir (ar) jų priekabų valdytojų atžvilgiu, tačiau nebūtų taikomos kitų transporto priemonių, kurioms taip pat taikomi techninės būklės atitikties nustatytiems reikalavimams reikalavimai, kurioms Įstatymu nustatyta prievolė atlikti privalomąją techninę apžiūrą ir kurių eksploatavimo saugumas taip pat svarbus užtikrinant viešuosius visuomenės interesus.</w:t>
            </w:r>
          </w:p>
          <w:p w14:paraId="3AE39C25" w14:textId="68342B2B" w:rsidR="00DD31DA" w:rsidRPr="00924182" w:rsidRDefault="00DD31DA" w:rsidP="004523F5">
            <w:pPr>
              <w:ind w:firstLine="709"/>
              <w:jc w:val="both"/>
              <w:rPr>
                <w:b/>
                <w:bCs/>
                <w:szCs w:val="24"/>
              </w:rPr>
            </w:pPr>
            <w:r w:rsidRPr="00924182">
              <w:rPr>
                <w:szCs w:val="24"/>
              </w:rPr>
              <w:t xml:space="preserve">Atsižvelgdami į 1.1 pastaboje nurodytus Specialiųjų tyrimų tarnybos identifikuotus korupcijos rizikos veiksnius ir į tai, kad Projektu </w:t>
            </w:r>
            <w:r w:rsidRPr="00924182">
              <w:rPr>
                <w:i/>
                <w:iCs/>
                <w:szCs w:val="24"/>
              </w:rPr>
              <w:t xml:space="preserve">nenumatomas </w:t>
            </w:r>
            <w:r w:rsidRPr="00924182">
              <w:rPr>
                <w:szCs w:val="24"/>
              </w:rPr>
              <w:t>analogiškas teisinis reglamentavimas, kuris būtų taikomas ir kitų transporto priemonių (taip pat T</w:t>
            </w:r>
            <w:r w:rsidRPr="00924182">
              <w:rPr>
                <w:szCs w:val="24"/>
                <w:vertAlign w:val="subscript"/>
              </w:rPr>
              <w:t>1b</w:t>
            </w:r>
            <w:r w:rsidRPr="00924182">
              <w:rPr>
                <w:szCs w:val="24"/>
              </w:rPr>
              <w:t>, T</w:t>
            </w:r>
            <w:r w:rsidRPr="00924182">
              <w:rPr>
                <w:szCs w:val="24"/>
                <w:vertAlign w:val="subscript"/>
              </w:rPr>
              <w:t>2b</w:t>
            </w:r>
            <w:r w:rsidRPr="00924182">
              <w:rPr>
                <w:szCs w:val="24"/>
              </w:rPr>
              <w:t>, T</w:t>
            </w:r>
            <w:r w:rsidRPr="00924182">
              <w:rPr>
                <w:szCs w:val="24"/>
                <w:vertAlign w:val="subscript"/>
              </w:rPr>
              <w:t>3b</w:t>
            </w:r>
            <w:r w:rsidRPr="00924182">
              <w:rPr>
                <w:szCs w:val="24"/>
              </w:rPr>
              <w:t>, T</w:t>
            </w:r>
            <w:r w:rsidRPr="00924182">
              <w:rPr>
                <w:szCs w:val="24"/>
                <w:vertAlign w:val="subscript"/>
              </w:rPr>
              <w:t>4.1b</w:t>
            </w:r>
            <w:r w:rsidRPr="00924182">
              <w:rPr>
                <w:szCs w:val="24"/>
              </w:rPr>
              <w:t>, T</w:t>
            </w:r>
            <w:r w:rsidRPr="00924182">
              <w:rPr>
                <w:szCs w:val="24"/>
                <w:vertAlign w:val="subscript"/>
              </w:rPr>
              <w:t>4.2b</w:t>
            </w:r>
            <w:r w:rsidRPr="00924182">
              <w:rPr>
                <w:szCs w:val="24"/>
              </w:rPr>
              <w:t>, T</w:t>
            </w:r>
            <w:r w:rsidRPr="00924182">
              <w:rPr>
                <w:szCs w:val="24"/>
                <w:vertAlign w:val="subscript"/>
              </w:rPr>
              <w:t xml:space="preserve">4.3b </w:t>
            </w:r>
            <w:r w:rsidRPr="00924182">
              <w:rPr>
                <w:szCs w:val="24"/>
              </w:rPr>
              <w:t>ir T</w:t>
            </w:r>
            <w:r w:rsidRPr="00924182">
              <w:rPr>
                <w:szCs w:val="24"/>
                <w:vertAlign w:val="subscript"/>
              </w:rPr>
              <w:t>5</w:t>
            </w:r>
            <w:r w:rsidRPr="00924182">
              <w:rPr>
                <w:szCs w:val="24"/>
              </w:rPr>
              <w:t xml:space="preserve"> kategorijų ratinių traktorių, kurie dažniausiai naudojami </w:t>
            </w:r>
            <w:r w:rsidRPr="00924182">
              <w:rPr>
                <w:szCs w:val="24"/>
              </w:rPr>
              <w:lastRenderedPageBreak/>
              <w:t>viešuosiuose keliuose vežimams už atlygį ir kurių didžiausiasis projektinis greitis yra didesnis kaip 40 km/h) atžvilgiu, siūlytume Projektą atitinkamai tobulinti.</w:t>
            </w:r>
          </w:p>
        </w:tc>
        <w:tc>
          <w:tcPr>
            <w:tcW w:w="4111" w:type="dxa"/>
          </w:tcPr>
          <w:p w14:paraId="4F06963D" w14:textId="359650EF" w:rsidR="00DD31DA" w:rsidRPr="00924182" w:rsidRDefault="00DD31DA" w:rsidP="004523F5">
            <w:pPr>
              <w:ind w:left="57" w:right="57"/>
              <w:jc w:val="both"/>
              <w:rPr>
                <w:szCs w:val="24"/>
              </w:rPr>
            </w:pPr>
            <w:r w:rsidRPr="00924182">
              <w:rPr>
                <w:szCs w:val="24"/>
              </w:rPr>
              <w:lastRenderedPageBreak/>
              <w:t>Projekto nuostatos dėl neeilinės techninės apžiūros inicijavimo, anuliavimo galiojančios</w:t>
            </w:r>
            <w:r w:rsidR="00AE7512">
              <w:rPr>
                <w:szCs w:val="24"/>
              </w:rPr>
              <w:t xml:space="preserve"> techni</w:t>
            </w:r>
            <w:r w:rsidR="0003782B">
              <w:rPr>
                <w:szCs w:val="24"/>
              </w:rPr>
              <w:t>n</w:t>
            </w:r>
            <w:r w:rsidR="00AE7512">
              <w:rPr>
                <w:szCs w:val="24"/>
              </w:rPr>
              <w:t>ės apžiūros</w:t>
            </w:r>
            <w:r w:rsidRPr="00924182">
              <w:rPr>
                <w:szCs w:val="24"/>
              </w:rPr>
              <w:t xml:space="preserve"> ir informavimo apie grėsmę saugumui pirmiausia yra orientuotos į motorines transporto priemones, kurios nuolatos dalyvauja intensyviame viešajame eisme, važiuodamos dideliais greičiais. Tuo tarpu traktoriai ir savaeigės mašinos pagal savo konstrukcinę paskirtį yra skirti žemės ūkio ar miškų ūkio darbams (laukams), o jų dalyvavimas viešajame eisme yra epizodinis ir ribojamas mažesnio projektinio greičio. Projektu siekiama operatyviai užpildyti teisinę spragą būtent motorinių transporto priemonių srityje, kur korupcinės rizikos ir jų įtaka eismo saugumui dėl motorinių </w:t>
            </w:r>
            <w:r w:rsidRPr="00924182">
              <w:rPr>
                <w:szCs w:val="24"/>
              </w:rPr>
              <w:lastRenderedPageBreak/>
              <w:t xml:space="preserve">transporto priemonių skaičiaus yra </w:t>
            </w:r>
            <w:r w:rsidR="00437A4E" w:rsidRPr="00437A4E">
              <w:rPr>
                <w:szCs w:val="24"/>
              </w:rPr>
              <w:t>ypač reikšminga</w:t>
            </w:r>
            <w:r w:rsidRPr="00437A4E">
              <w:rPr>
                <w:szCs w:val="24"/>
              </w:rPr>
              <w:t>. Išplėtus šį</w:t>
            </w:r>
            <w:r w:rsidRPr="00924182">
              <w:rPr>
                <w:szCs w:val="24"/>
              </w:rPr>
              <w:t xml:space="preserve"> reguliavimą traktoriams</w:t>
            </w:r>
            <w:r w:rsidR="00B24EE7">
              <w:rPr>
                <w:szCs w:val="24"/>
              </w:rPr>
              <w:t>, savaeigėms mašinoms</w:t>
            </w:r>
            <w:r w:rsidRPr="00924182">
              <w:rPr>
                <w:szCs w:val="24"/>
              </w:rPr>
              <w:t xml:space="preserve"> be atsakingų už šią sritį institucijų išsamios sektoriaus analizės, būtų galimai sukurta teisiškai ydinga ir praktiškai neveikianti norma. Todėl</w:t>
            </w:r>
            <w:r w:rsidRPr="00924182">
              <w:rPr>
                <w:b/>
                <w:bCs/>
                <w:szCs w:val="24"/>
              </w:rPr>
              <w:t xml:space="preserve"> poreikį numatyti analogišką teisinį reguliavimą ir jo įgyvendinimo mechanizmą, susijusį su neeilinės techninės apžiūros inicijavimu, galiojimo anuliavimu ir informavimu apie grėsmę saugumui, pirmiausia turėtų įvertinti </w:t>
            </w:r>
            <w:r w:rsidR="00125967">
              <w:rPr>
                <w:b/>
                <w:bCs/>
                <w:szCs w:val="24"/>
              </w:rPr>
              <w:t xml:space="preserve">už šią sritį </w:t>
            </w:r>
            <w:r w:rsidR="00B14D67">
              <w:rPr>
                <w:b/>
                <w:bCs/>
                <w:szCs w:val="24"/>
              </w:rPr>
              <w:t xml:space="preserve">atsakingoms </w:t>
            </w:r>
            <w:r w:rsidRPr="00924182">
              <w:rPr>
                <w:b/>
                <w:bCs/>
                <w:szCs w:val="24"/>
              </w:rPr>
              <w:t>Žemės ūkio ministerija kartu su savivaldos subjektais, ir tik tuomet inicijuoti reikalingus Įstatymo nuostatų pakeitimus.</w:t>
            </w:r>
          </w:p>
          <w:p w14:paraId="48EA0E46" w14:textId="77777777" w:rsidR="00DD31DA" w:rsidRPr="00924182" w:rsidRDefault="00DD31DA" w:rsidP="004523F5">
            <w:pPr>
              <w:pStyle w:val="Betarp"/>
              <w:ind w:left="57" w:right="57"/>
              <w:jc w:val="center"/>
              <w:rPr>
                <w:rFonts w:ascii="Times New Roman" w:hAnsi="Times New Roman" w:cs="Times New Roman"/>
                <w:b/>
                <w:bCs/>
                <w:sz w:val="24"/>
                <w:szCs w:val="24"/>
              </w:rPr>
            </w:pPr>
          </w:p>
        </w:tc>
        <w:tc>
          <w:tcPr>
            <w:tcW w:w="1287" w:type="dxa"/>
          </w:tcPr>
          <w:p w14:paraId="563271FD" w14:textId="77777777" w:rsidR="00DD31DA" w:rsidRPr="00924182" w:rsidRDefault="00DD31DA" w:rsidP="00DD31DA">
            <w:pPr>
              <w:pStyle w:val="Betarp"/>
              <w:jc w:val="center"/>
              <w:rPr>
                <w:rFonts w:ascii="Times New Roman" w:hAnsi="Times New Roman" w:cs="Times New Roman"/>
                <w:b/>
                <w:bCs/>
                <w:sz w:val="24"/>
                <w:szCs w:val="24"/>
              </w:rPr>
            </w:pPr>
          </w:p>
        </w:tc>
      </w:tr>
      <w:tr w:rsidR="00DD31DA" w:rsidRPr="00924182" w14:paraId="1A7C0DB8" w14:textId="77777777" w:rsidTr="004523F5">
        <w:tc>
          <w:tcPr>
            <w:tcW w:w="1629" w:type="dxa"/>
          </w:tcPr>
          <w:p w14:paraId="40E75829" w14:textId="77777777" w:rsidR="00DD31DA" w:rsidRPr="00924182" w:rsidRDefault="00DD31DA" w:rsidP="00DD31DA">
            <w:pPr>
              <w:pStyle w:val="Betarp"/>
              <w:jc w:val="center"/>
              <w:rPr>
                <w:rFonts w:ascii="Times New Roman" w:hAnsi="Times New Roman" w:cs="Times New Roman"/>
                <w:b/>
                <w:bCs/>
                <w:sz w:val="24"/>
                <w:szCs w:val="24"/>
              </w:rPr>
            </w:pPr>
          </w:p>
        </w:tc>
        <w:tc>
          <w:tcPr>
            <w:tcW w:w="7013" w:type="dxa"/>
          </w:tcPr>
          <w:p w14:paraId="46AD644E" w14:textId="77777777" w:rsidR="00DD31DA" w:rsidRPr="00924182" w:rsidRDefault="00DD31DA" w:rsidP="00DD31DA">
            <w:pPr>
              <w:suppressAutoHyphens/>
              <w:ind w:firstLine="672"/>
              <w:jc w:val="both"/>
              <w:rPr>
                <w:i/>
                <w:iCs/>
                <w:szCs w:val="24"/>
              </w:rPr>
            </w:pPr>
            <w:r w:rsidRPr="00924182">
              <w:rPr>
                <w:i/>
                <w:iCs/>
                <w:szCs w:val="24"/>
              </w:rPr>
              <w:t>2.2 Projektas sudarytų sąlygas išsamesnio patikrinimo išlaidų naštą perkelti transporto priemonės valdytojui ar vairuotojui net ir tais atvejais, kai pirminio patikrinimo netikslumai ar klaidingi techninės apžiūros rezultatai galėjo atsirasti dėl patikrinimą atlikusių subjektų nesąžiningo elgesio ar netinkamo pareigų atlikimo</w:t>
            </w:r>
          </w:p>
          <w:p w14:paraId="04EDF050" w14:textId="77777777" w:rsidR="00DD31DA" w:rsidRPr="00924182" w:rsidRDefault="00DD31DA" w:rsidP="00DD31DA">
            <w:pPr>
              <w:suppressAutoHyphens/>
              <w:ind w:firstLine="672"/>
              <w:jc w:val="both"/>
              <w:rPr>
                <w:i/>
                <w:iCs/>
                <w:szCs w:val="24"/>
              </w:rPr>
            </w:pPr>
          </w:p>
          <w:p w14:paraId="3728D6B9" w14:textId="77777777" w:rsidR="00DD31DA" w:rsidRPr="00924182" w:rsidRDefault="00DD31DA" w:rsidP="00DD31DA">
            <w:pPr>
              <w:suppressAutoHyphens/>
              <w:ind w:firstLine="672"/>
              <w:jc w:val="both"/>
              <w:rPr>
                <w:szCs w:val="24"/>
                <w:lang w:eastAsia="lt-LT"/>
              </w:rPr>
            </w:pPr>
            <w:r w:rsidRPr="00924182">
              <w:rPr>
                <w:szCs w:val="24"/>
                <w:lang w:eastAsia="lt-LT"/>
              </w:rPr>
              <w:t>Projekto 14 straipsnio 3 dalimi siūloma pakeisti Įstatymo 33 straipsnio („Transporto priemonės priverstinis nuvežimas arba uždraudimas toliau važiuoti“) 9 dalį ir nustatyti, kad (pateikiame lyginamąjį variantą):</w:t>
            </w:r>
          </w:p>
          <w:p w14:paraId="1DA08B8D" w14:textId="77777777" w:rsidR="00DD31DA" w:rsidRPr="00924182" w:rsidRDefault="00DD31DA" w:rsidP="00DD31DA">
            <w:pPr>
              <w:ind w:firstLine="672"/>
              <w:jc w:val="both"/>
              <w:rPr>
                <w:szCs w:val="24"/>
                <w:lang w:eastAsia="lt-LT"/>
              </w:rPr>
            </w:pPr>
            <w:r w:rsidRPr="00924182">
              <w:rPr>
                <w:szCs w:val="24"/>
                <w:lang w:eastAsia="lt-LT"/>
              </w:rPr>
              <w:t xml:space="preserve">„9. Išlaidas, susijusias su išsamesnio techninio patikrinimo atlikimu </w:t>
            </w:r>
            <w:r w:rsidRPr="00924182">
              <w:rPr>
                <w:strike/>
                <w:szCs w:val="24"/>
              </w:rPr>
              <w:t>techninės apžiūros įmonėje</w:t>
            </w:r>
            <w:r w:rsidRPr="00924182">
              <w:rPr>
                <w:szCs w:val="24"/>
                <w:lang w:eastAsia="lt-LT"/>
              </w:rPr>
              <w:t>, transporto priemonės trūkumų šalinimu, padengia transporto priemonės valdytojas ir (ar) vairuotojas.“</w:t>
            </w:r>
          </w:p>
          <w:p w14:paraId="331663BC" w14:textId="77777777" w:rsidR="00DD31DA" w:rsidRPr="00924182" w:rsidRDefault="00DD31DA" w:rsidP="00DD31DA">
            <w:pPr>
              <w:ind w:firstLine="672"/>
              <w:jc w:val="both"/>
              <w:rPr>
                <w:szCs w:val="24"/>
              </w:rPr>
            </w:pPr>
          </w:p>
          <w:p w14:paraId="7CFCF005" w14:textId="77777777" w:rsidR="00DD31DA" w:rsidRPr="00924182" w:rsidRDefault="00DD31DA" w:rsidP="00DD31DA">
            <w:pPr>
              <w:ind w:firstLine="672"/>
              <w:jc w:val="both"/>
              <w:rPr>
                <w:szCs w:val="24"/>
              </w:rPr>
            </w:pPr>
            <w:r w:rsidRPr="00924182">
              <w:rPr>
                <w:szCs w:val="24"/>
              </w:rPr>
              <w:t>Projektu siūlomose Įstatymo 33 straipsnio 3 dalies nuostatose reglamentuojami neigiami pradinio techninio patikrinimo kelyje ir išsamesnio M2, M3, N2, N3, O3, O4 klasių transporto priemonių bei T1b, T2b, T3b, T4.1b, T4.2b, T4.3b, T5 kategorijų ratinių traktorių, kurie dažniausiai naudojami viešuosiuose keliuose vežimams už atlygį ir kurių didžiausiasis projektinis greitis yra didesnis kaip 40 km/h, patikrinimo padariniai, t. y. draudimas toliau važiuoti, laikinas transporto priemonės registracijos dokumentų paėmimas, kol bus pašalinti nustatyti dideli ir (ar) pavojingi trūkumai, bei privalomosios techninės apžiūros dokumentų galiojimo panaikinimas. Atsižvelgiant į šių padarinių reikšmingumą, Įstatymo 33 straipsnio 9 dalies nuostata, kad transporto priemonės valdytojas ir (ar) vairuotojas padengia išlaidas, susijusias su išsamesnio techninio patikrinimo atlikimu, iš esmės gali būti laikoma pagrįsta tais atvejais, kai pirminio patikrinimo metu nustatyti trūkumai pasitvirtina.</w:t>
            </w:r>
          </w:p>
          <w:p w14:paraId="0E90F006" w14:textId="77777777" w:rsidR="00DD31DA" w:rsidRPr="00924182" w:rsidRDefault="00DD31DA" w:rsidP="00DD31DA">
            <w:pPr>
              <w:ind w:firstLine="709"/>
              <w:jc w:val="both"/>
              <w:rPr>
                <w:szCs w:val="24"/>
              </w:rPr>
            </w:pPr>
            <w:r w:rsidRPr="00924182">
              <w:rPr>
                <w:szCs w:val="24"/>
              </w:rPr>
              <w:t xml:space="preserve">Tačiau pažymėtina, kad nei Projektas, nei galiojantis Įstatymas nereglamentuoja, kas turėtų atlyginti išsamesnio techninio patikrinimo išlaidas tais atvejais, kai atlikus tokį patikrinimą paaiškėja, jog pirminio patikrinimo rezultatai, kurių pagrindu transporto priemonė buvo </w:t>
            </w:r>
            <w:r w:rsidRPr="00924182">
              <w:rPr>
                <w:szCs w:val="24"/>
              </w:rPr>
              <w:lastRenderedPageBreak/>
              <w:t>nukreipta atlikti išsamesnį techninį patikrinimą, buvo nepagrįsti, neobjektyvūs ar neteisingi. Dėl tokio teisinio neapibrėžtumo Įstatymo 33 straipsnio 9 dalies nuostata gali būti aiškinama taip, kad net ir tais atvejais, kai išsamesnio techninio patikrinimo rezultatai paneigia pirminio patikrinimo išvadas, visas su tuo susijusias išlaidas vis tiek privalėtų padengti transporto priemonės valdytojas ir (ar) vairuotojas.</w:t>
            </w:r>
          </w:p>
          <w:p w14:paraId="6954C190" w14:textId="77777777" w:rsidR="00DD31DA" w:rsidRPr="00924182" w:rsidRDefault="00DD31DA" w:rsidP="00DD31DA">
            <w:pPr>
              <w:ind w:firstLine="709"/>
              <w:jc w:val="both"/>
              <w:rPr>
                <w:szCs w:val="24"/>
              </w:rPr>
            </w:pPr>
            <w:r w:rsidRPr="00924182">
              <w:rPr>
                <w:szCs w:val="24"/>
              </w:rPr>
              <w:t>Specialiųjų tyrimų tarnybos vertinimu, toks teisinis reguliavimas kelia reikšmingą korupcijos riziką. Nesant aiškaus išlaidų paskirstymo mechanizmo ir atsakomybės tais atvejais, kai pirminis patikrinimas buvo atliktas nepagrįstai ar nesąžiningai, sudaromos prielaidos piktnaudžiavimui, neobjektyviam sprendimų priėmimui ir nepagrįstam asmenų teisių bei finansinių interesų suvaržymui. Nepagrįsti, neobjektyvūs ar neteisingi pirminio patikrinimo rezultatai gali būti nulemti ne tik žmogiškosios klaidos ar netinkamo pareigų atlikimo, bet ir nesąžiningo pirminį patikrinimą atlikusio subjekto elgesio ar piktnaudžiavimo tarnybine padėtimi. Tokiu atveju transporto priemonės valdytojui ir (ar) vairuotojui nepagrįstai perkeliama ne tik finansinė našta, bet ir neigiamos teisinės pasekmės, atsiradusios dėl galimai neteisėtų ar netinkamų viešojo administravimo subjekto veiksmų.</w:t>
            </w:r>
          </w:p>
          <w:p w14:paraId="739291AB" w14:textId="77777777" w:rsidR="00DD31DA" w:rsidRPr="00924182" w:rsidRDefault="00DD31DA" w:rsidP="00DD31DA">
            <w:pPr>
              <w:ind w:firstLine="709"/>
              <w:jc w:val="both"/>
              <w:rPr>
                <w:szCs w:val="24"/>
              </w:rPr>
            </w:pPr>
            <w:r w:rsidRPr="00924182">
              <w:rPr>
                <w:szCs w:val="24"/>
              </w:rPr>
              <w:t>Be to, toks teisinis reguliavimas neatitinka teisinio aiškumo, proporcingumo ir teisingumo principų, nes neįtvirtina nei aiškių garantijų asmenims, nei mechanizmo, leidžiančio išvengti nepagrįsto jų apmokestinimo tais atvejais, kai pirminio patikrinimo rezultatai nepasitvirtina. Taip pat nenustačius aiškios pareigos kompensuoti išsamesnio techninio patikrinimo išlaidas, kai pirminio patikrinimo išvados buvo nepagrįstos, lieka prielaidos neskaidriai praktikai ir nepakankamai subjektų veiklos kontrolei.</w:t>
            </w:r>
          </w:p>
          <w:p w14:paraId="062E02BA" w14:textId="58EB3D96" w:rsidR="00DD31DA" w:rsidRPr="00924182" w:rsidRDefault="00DD31DA" w:rsidP="00DD31DA">
            <w:pPr>
              <w:pStyle w:val="Betarp"/>
              <w:jc w:val="center"/>
              <w:rPr>
                <w:rFonts w:ascii="Times New Roman" w:hAnsi="Times New Roman" w:cs="Times New Roman"/>
                <w:b/>
                <w:bCs/>
                <w:sz w:val="24"/>
                <w:szCs w:val="24"/>
              </w:rPr>
            </w:pPr>
            <w:r w:rsidRPr="00924182">
              <w:rPr>
                <w:rFonts w:ascii="Times New Roman" w:hAnsi="Times New Roman" w:cs="Times New Roman"/>
                <w:sz w:val="24"/>
                <w:szCs w:val="24"/>
              </w:rPr>
              <w:t>Atsižvelgdami į tai, siekiant pašalinti dviprasmiško Įstatymo 33 straipsnio 9 dalies aiškinimo galimybę, sumažinti piktnaudžiavimo riziką ir užtikrinti asmenų teisių apsaugą, siūlytume Projektą tobulinti, aiškiai nustatant, kas turi atlyginti išsamesnio techninio patikrinimo išlaidas tais atvejais, kai pirminio patikrinimo rezultatai nepasitvirtina.</w:t>
            </w:r>
          </w:p>
        </w:tc>
        <w:tc>
          <w:tcPr>
            <w:tcW w:w="4111" w:type="dxa"/>
          </w:tcPr>
          <w:p w14:paraId="73F5385A" w14:textId="01781756" w:rsidR="00DD31DA" w:rsidRPr="00924182" w:rsidRDefault="00DD31DA" w:rsidP="004523F5">
            <w:pPr>
              <w:ind w:left="57" w:right="57" w:firstLine="425"/>
              <w:jc w:val="both"/>
              <w:rPr>
                <w:szCs w:val="24"/>
              </w:rPr>
            </w:pPr>
            <w:r w:rsidRPr="00924182">
              <w:rPr>
                <w:szCs w:val="24"/>
              </w:rPr>
              <w:lastRenderedPageBreak/>
              <w:t>Pažymėtina, kad</w:t>
            </w:r>
            <w:r w:rsidR="00B14D67">
              <w:rPr>
                <w:szCs w:val="24"/>
              </w:rPr>
              <w:t>,</w:t>
            </w:r>
            <w:r w:rsidRPr="00924182">
              <w:rPr>
                <w:szCs w:val="24"/>
              </w:rPr>
              <w:t xml:space="preserve"> vadovaujantis M</w:t>
            </w:r>
            <w:r w:rsidRPr="00924182">
              <w:rPr>
                <w:szCs w:val="24"/>
                <w:vertAlign w:val="subscript"/>
              </w:rPr>
              <w:t>2</w:t>
            </w:r>
            <w:r w:rsidRPr="00924182">
              <w:rPr>
                <w:szCs w:val="24"/>
              </w:rPr>
              <w:t>, M</w:t>
            </w:r>
            <w:r w:rsidRPr="00924182">
              <w:rPr>
                <w:szCs w:val="24"/>
                <w:vertAlign w:val="subscript"/>
              </w:rPr>
              <w:t>3</w:t>
            </w:r>
            <w:r w:rsidRPr="00924182">
              <w:rPr>
                <w:szCs w:val="24"/>
              </w:rPr>
              <w:t>, N</w:t>
            </w:r>
            <w:r w:rsidRPr="00924182">
              <w:rPr>
                <w:szCs w:val="24"/>
                <w:vertAlign w:val="subscript"/>
              </w:rPr>
              <w:t>2</w:t>
            </w:r>
            <w:r w:rsidRPr="00924182">
              <w:rPr>
                <w:szCs w:val="24"/>
              </w:rPr>
              <w:t>, N</w:t>
            </w:r>
            <w:r w:rsidRPr="00924182">
              <w:rPr>
                <w:szCs w:val="24"/>
                <w:vertAlign w:val="subscript"/>
              </w:rPr>
              <w:t>3</w:t>
            </w:r>
            <w:r w:rsidRPr="00924182">
              <w:rPr>
                <w:szCs w:val="24"/>
              </w:rPr>
              <w:t>, O</w:t>
            </w:r>
            <w:r w:rsidRPr="00924182">
              <w:rPr>
                <w:szCs w:val="24"/>
                <w:vertAlign w:val="subscript"/>
              </w:rPr>
              <w:t>3</w:t>
            </w:r>
            <w:r w:rsidRPr="00924182">
              <w:rPr>
                <w:szCs w:val="24"/>
              </w:rPr>
              <w:t>, O</w:t>
            </w:r>
            <w:r w:rsidRPr="00924182">
              <w:rPr>
                <w:szCs w:val="24"/>
                <w:vertAlign w:val="subscript"/>
              </w:rPr>
              <w:t>4</w:t>
            </w:r>
            <w:r w:rsidRPr="00924182">
              <w:rPr>
                <w:szCs w:val="24"/>
              </w:rPr>
              <w:t xml:space="preserve"> klasių kelių transporto priemonių ir T</w:t>
            </w:r>
            <w:r w:rsidRPr="00924182">
              <w:rPr>
                <w:szCs w:val="24"/>
                <w:vertAlign w:val="subscript"/>
              </w:rPr>
              <w:t>1b</w:t>
            </w:r>
            <w:r w:rsidRPr="00924182">
              <w:rPr>
                <w:szCs w:val="24"/>
              </w:rPr>
              <w:t>, T</w:t>
            </w:r>
            <w:r w:rsidRPr="00924182">
              <w:rPr>
                <w:szCs w:val="24"/>
                <w:vertAlign w:val="subscript"/>
              </w:rPr>
              <w:t>2b</w:t>
            </w:r>
            <w:r w:rsidRPr="00924182">
              <w:rPr>
                <w:szCs w:val="24"/>
              </w:rPr>
              <w:t>, T</w:t>
            </w:r>
            <w:r w:rsidRPr="00924182">
              <w:rPr>
                <w:szCs w:val="24"/>
                <w:vertAlign w:val="subscript"/>
              </w:rPr>
              <w:t>3b</w:t>
            </w:r>
            <w:r w:rsidRPr="00924182">
              <w:rPr>
                <w:szCs w:val="24"/>
              </w:rPr>
              <w:t>, T</w:t>
            </w:r>
            <w:r w:rsidRPr="00924182">
              <w:rPr>
                <w:szCs w:val="24"/>
                <w:vertAlign w:val="subscript"/>
              </w:rPr>
              <w:t>4.1b</w:t>
            </w:r>
            <w:r w:rsidRPr="00924182">
              <w:rPr>
                <w:szCs w:val="24"/>
              </w:rPr>
              <w:t>, T</w:t>
            </w:r>
            <w:r w:rsidRPr="00924182">
              <w:rPr>
                <w:szCs w:val="24"/>
                <w:vertAlign w:val="subscript"/>
              </w:rPr>
              <w:t>4.2b</w:t>
            </w:r>
            <w:r w:rsidRPr="00924182">
              <w:rPr>
                <w:szCs w:val="24"/>
              </w:rPr>
              <w:t>, T</w:t>
            </w:r>
            <w:r w:rsidRPr="00924182">
              <w:rPr>
                <w:szCs w:val="24"/>
                <w:vertAlign w:val="subscript"/>
              </w:rPr>
              <w:t>4.3b</w:t>
            </w:r>
            <w:r w:rsidRPr="00924182">
              <w:rPr>
                <w:szCs w:val="24"/>
              </w:rPr>
              <w:t>, T</w:t>
            </w:r>
            <w:r w:rsidRPr="00924182">
              <w:rPr>
                <w:szCs w:val="24"/>
                <w:vertAlign w:val="subscript"/>
              </w:rPr>
              <w:t>5</w:t>
            </w:r>
            <w:r w:rsidRPr="00924182">
              <w:rPr>
                <w:szCs w:val="24"/>
              </w:rPr>
              <w:t xml:space="preserve"> kategorijų ratinių traktorių techninių patikrinimų organizavimo Lietuvos Respublikos keliuose taisyklėmis, patvirtintomis Lietuvos Respublikos Vyriausybės 2005 m. balandžio 13 d. nutarimu Nr. 403 (toliau – Taisyklės), siuntime atlikti transporto priemonės išsamesnį patikrinimą pareigūnai nustato 7 darbo dienų terminą, per kurį turi būti atliktas transporto priemonės išsamesnis patikrinimas. Praktika rodo, kad per šį laikotarpį transporto priemonių valdytojai paprastai pašalina nustatytus trūkumus ir į techninės apžiūros įmonę išsamesniam patikrinimui atvyksta siekdami gauti teigiamą išvadą. Dėl šios priežasties pradinio patikrinimo kelyje ir vėlesnio išsamesnio patikrinimo išvados beveik visais atvejais skirsis. Pažymėtina, kad Taisyklių 28 punkte nustatyta, jog asmenys, nesutinkantys su pareigūnų priimtais sprendimais, gali juos apskųsti Lietuvos Respublikos administracinių bylų teisenos įstatymo nustatyta tvarka.</w:t>
            </w:r>
          </w:p>
          <w:p w14:paraId="217FCF35" w14:textId="77777777" w:rsidR="00DD31DA" w:rsidRPr="00924182" w:rsidRDefault="00DD31DA" w:rsidP="004523F5">
            <w:pPr>
              <w:ind w:left="57" w:right="57" w:firstLine="425"/>
              <w:jc w:val="both"/>
              <w:rPr>
                <w:szCs w:val="24"/>
              </w:rPr>
            </w:pPr>
            <w:r w:rsidRPr="00924182">
              <w:rPr>
                <w:szCs w:val="24"/>
              </w:rPr>
              <w:t xml:space="preserve">Todėl siūlymas numatyti išlaidų kompensavimą transporto priemonės valdytojui, kai skiriasi pirminio ir </w:t>
            </w:r>
            <w:r w:rsidRPr="00924182">
              <w:rPr>
                <w:szCs w:val="24"/>
              </w:rPr>
              <w:lastRenderedPageBreak/>
              <w:t>išsamesnio patikrinimo išvados, sukurtų ydingą praktiką, nes skirtumas dažniausiai atsiranda dėl operatyvaus trūkumų pašalinimo, o ne dėl pareigūnų klaidų.</w:t>
            </w:r>
          </w:p>
          <w:p w14:paraId="3F3CD721" w14:textId="2495E5AF" w:rsidR="00DD31DA" w:rsidRPr="00924182" w:rsidRDefault="00DD31DA" w:rsidP="004523F5">
            <w:pPr>
              <w:ind w:left="57" w:right="57" w:firstLine="425"/>
              <w:jc w:val="both"/>
              <w:rPr>
                <w:b/>
                <w:bCs/>
                <w:szCs w:val="24"/>
              </w:rPr>
            </w:pPr>
            <w:r w:rsidRPr="00924182">
              <w:rPr>
                <w:szCs w:val="24"/>
              </w:rPr>
              <w:t xml:space="preserve">Manome, kad </w:t>
            </w:r>
            <w:r w:rsidRPr="00924182">
              <w:rPr>
                <w:b/>
                <w:bCs/>
                <w:szCs w:val="24"/>
              </w:rPr>
              <w:t xml:space="preserve">siekiant suvaldyti STT identifikuotas rizikas dėl pareigūnų priimtų sprendimų pagrįstumo (objektyvumo), tikslingiau būtų ne kurti sunkiai įgyvendinamą kompensavimo mechanizmą, o prireikus vertinti pačių pareigūnų atsakomybę. </w:t>
            </w:r>
            <w:r w:rsidRPr="00924182">
              <w:rPr>
                <w:szCs w:val="24"/>
              </w:rPr>
              <w:t xml:space="preserve">Vis dėlto pažymėtina, kad šiuo metu Susisiekimo ministerija nėra gavusi transporto priemonių valdytojų skundų dėl galimai neobjektyvių pareigūnų veiksmų, todėl darytina išvada, kad esamas reguliavimas yra pakankamas ir </w:t>
            </w:r>
            <w:r w:rsidRPr="00924182">
              <w:rPr>
                <w:b/>
                <w:bCs/>
                <w:szCs w:val="24"/>
              </w:rPr>
              <w:t>papildomai griežtinti atsakomybės ar keisti tvarkos šiuo metu nėra pagrindo.</w:t>
            </w:r>
          </w:p>
          <w:p w14:paraId="2E2B4747" w14:textId="77777777" w:rsidR="00DD31DA" w:rsidRPr="00924182" w:rsidRDefault="00DD31DA" w:rsidP="004523F5">
            <w:pPr>
              <w:pStyle w:val="Betarp"/>
              <w:ind w:left="57" w:right="57"/>
              <w:jc w:val="center"/>
              <w:rPr>
                <w:rFonts w:ascii="Times New Roman" w:hAnsi="Times New Roman" w:cs="Times New Roman"/>
                <w:b/>
                <w:bCs/>
                <w:sz w:val="24"/>
                <w:szCs w:val="24"/>
              </w:rPr>
            </w:pPr>
          </w:p>
        </w:tc>
        <w:tc>
          <w:tcPr>
            <w:tcW w:w="1287" w:type="dxa"/>
          </w:tcPr>
          <w:p w14:paraId="4D5A40FD" w14:textId="77777777" w:rsidR="00DD31DA" w:rsidRPr="00924182" w:rsidRDefault="00DD31DA" w:rsidP="00DD31DA">
            <w:pPr>
              <w:pStyle w:val="Betarp"/>
              <w:jc w:val="center"/>
              <w:rPr>
                <w:rFonts w:ascii="Times New Roman" w:hAnsi="Times New Roman" w:cs="Times New Roman"/>
                <w:b/>
                <w:bCs/>
                <w:sz w:val="24"/>
                <w:szCs w:val="24"/>
              </w:rPr>
            </w:pPr>
          </w:p>
        </w:tc>
      </w:tr>
      <w:tr w:rsidR="00DD31DA" w:rsidRPr="00924182" w14:paraId="5E8D304F" w14:textId="77777777" w:rsidTr="004523F5">
        <w:tc>
          <w:tcPr>
            <w:tcW w:w="1629" w:type="dxa"/>
            <w:vAlign w:val="center"/>
          </w:tcPr>
          <w:p w14:paraId="2426FD39" w14:textId="2779EB2A" w:rsidR="00DD31DA" w:rsidRPr="00924182" w:rsidRDefault="00DD31DA" w:rsidP="00DD31DA">
            <w:pPr>
              <w:pStyle w:val="Betarp"/>
              <w:jc w:val="center"/>
              <w:rPr>
                <w:rFonts w:ascii="Times New Roman" w:hAnsi="Times New Roman" w:cs="Times New Roman"/>
                <w:b/>
                <w:bCs/>
                <w:sz w:val="24"/>
                <w:szCs w:val="24"/>
              </w:rPr>
            </w:pPr>
            <w:r w:rsidRPr="00924182">
              <w:rPr>
                <w:rFonts w:ascii="Times New Roman" w:hAnsi="Times New Roman" w:cs="Times New Roman"/>
                <w:sz w:val="24"/>
                <w:szCs w:val="24"/>
              </w:rPr>
              <w:t>Kitos pastabos ir pasiūlymai</w:t>
            </w:r>
          </w:p>
        </w:tc>
        <w:tc>
          <w:tcPr>
            <w:tcW w:w="7013" w:type="dxa"/>
            <w:vAlign w:val="center"/>
          </w:tcPr>
          <w:p w14:paraId="06CD4216" w14:textId="4C553634" w:rsidR="00DD31DA" w:rsidRPr="00924182" w:rsidRDefault="00DD31DA" w:rsidP="004523F5">
            <w:pPr>
              <w:pStyle w:val="Betarp"/>
              <w:rPr>
                <w:rFonts w:ascii="Times New Roman" w:hAnsi="Times New Roman" w:cs="Times New Roman"/>
                <w:b/>
                <w:bCs/>
                <w:i/>
                <w:iCs/>
                <w:sz w:val="24"/>
                <w:szCs w:val="24"/>
              </w:rPr>
            </w:pPr>
            <w:r w:rsidRPr="00924182">
              <w:rPr>
                <w:rFonts w:ascii="Times New Roman" w:hAnsi="Times New Roman" w:cs="Times New Roman"/>
                <w:i/>
                <w:iCs/>
                <w:sz w:val="24"/>
                <w:szCs w:val="24"/>
              </w:rPr>
              <w:t>Kitų pastabų ir pasiūlymų neturime</w:t>
            </w:r>
          </w:p>
        </w:tc>
        <w:tc>
          <w:tcPr>
            <w:tcW w:w="4111" w:type="dxa"/>
            <w:vAlign w:val="center"/>
          </w:tcPr>
          <w:p w14:paraId="0B6CF952" w14:textId="77777777" w:rsidR="00DD31DA" w:rsidRPr="00924182" w:rsidRDefault="00DD31DA" w:rsidP="00DD31DA">
            <w:pPr>
              <w:pStyle w:val="Betarp"/>
              <w:jc w:val="center"/>
              <w:rPr>
                <w:rFonts w:ascii="Times New Roman" w:hAnsi="Times New Roman" w:cs="Times New Roman"/>
                <w:b/>
                <w:bCs/>
                <w:sz w:val="24"/>
                <w:szCs w:val="24"/>
              </w:rPr>
            </w:pPr>
          </w:p>
        </w:tc>
        <w:tc>
          <w:tcPr>
            <w:tcW w:w="1287" w:type="dxa"/>
            <w:vAlign w:val="center"/>
          </w:tcPr>
          <w:p w14:paraId="6EA58286" w14:textId="77777777" w:rsidR="00DD31DA" w:rsidRPr="00924182" w:rsidRDefault="00DD31DA" w:rsidP="00DD31DA">
            <w:pPr>
              <w:pStyle w:val="Betarp"/>
              <w:jc w:val="center"/>
              <w:rPr>
                <w:rFonts w:ascii="Times New Roman" w:hAnsi="Times New Roman" w:cs="Times New Roman"/>
                <w:b/>
                <w:bCs/>
                <w:sz w:val="24"/>
                <w:szCs w:val="24"/>
              </w:rPr>
            </w:pPr>
          </w:p>
        </w:tc>
      </w:tr>
    </w:tbl>
    <w:p w14:paraId="26C683D1" w14:textId="432D6E58" w:rsidR="00ED3EAB" w:rsidRPr="00924182" w:rsidRDefault="00EE4534" w:rsidP="003350E9">
      <w:pPr>
        <w:pStyle w:val="Betarp"/>
        <w:jc w:val="center"/>
        <w:rPr>
          <w:rFonts w:ascii="Times New Roman" w:hAnsi="Times New Roman" w:cs="Times New Roman"/>
          <w:sz w:val="24"/>
          <w:szCs w:val="24"/>
        </w:rPr>
      </w:pPr>
      <w:r w:rsidRPr="00924182">
        <w:rPr>
          <w:rFonts w:ascii="Times New Roman" w:hAnsi="Times New Roman" w:cs="Times New Roman"/>
          <w:sz w:val="24"/>
          <w:szCs w:val="24"/>
        </w:rPr>
        <w:t>_________</w:t>
      </w:r>
    </w:p>
    <w:sectPr w:rsidR="00ED3EAB" w:rsidRPr="00924182" w:rsidSect="00FC0804">
      <w:headerReference w:type="default" r:id="rId8"/>
      <w:pgSz w:w="15840" w:h="12240"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6DF5" w14:textId="77777777" w:rsidR="00776631" w:rsidRDefault="00776631" w:rsidP="000C59FE">
      <w:r>
        <w:separator/>
      </w:r>
    </w:p>
  </w:endnote>
  <w:endnote w:type="continuationSeparator" w:id="0">
    <w:p w14:paraId="3AA15BCC" w14:textId="77777777" w:rsidR="00776631" w:rsidRDefault="00776631" w:rsidP="000C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70E1" w14:textId="77777777" w:rsidR="00776631" w:rsidRDefault="00776631" w:rsidP="000C59FE">
      <w:r>
        <w:separator/>
      </w:r>
    </w:p>
  </w:footnote>
  <w:footnote w:type="continuationSeparator" w:id="0">
    <w:p w14:paraId="1216BE95" w14:textId="77777777" w:rsidR="00776631" w:rsidRDefault="00776631" w:rsidP="000C59FE">
      <w:r>
        <w:continuationSeparator/>
      </w:r>
    </w:p>
  </w:footnote>
  <w:footnote w:id="1">
    <w:p w14:paraId="037CA2FA" w14:textId="77777777" w:rsidR="004523F5" w:rsidRDefault="00DD31DA" w:rsidP="00664B78">
      <w:pPr>
        <w:pStyle w:val="Puslapioinaostekstas"/>
        <w:jc w:val="both"/>
      </w:pPr>
      <w:r>
        <w:rPr>
          <w:rStyle w:val="Puslapioinaosnuoroda"/>
        </w:rPr>
        <w:footnoteRef/>
      </w:r>
      <w:r>
        <w:t xml:space="preserve"> 2023-04-37 d. a</w:t>
      </w:r>
      <w:r w:rsidRPr="00D40736">
        <w:t xml:space="preserve">ntikorupcinio vertinimo išvada </w:t>
      </w:r>
      <w:r>
        <w:t>Nr. 4-01-3541 „D</w:t>
      </w:r>
      <w:r w:rsidRPr="00D40736">
        <w:t>ėl traktorių, savaeigių ir žemės ūkio mašinų ir jų priekabų registravimo ir techninės apžiūros teisinio reglamentavimo</w:t>
      </w:r>
      <w:r>
        <w:t>“.</w:t>
      </w:r>
    </w:p>
    <w:p w14:paraId="1E2D9A26" w14:textId="5F84F72F" w:rsidR="00DD31DA" w:rsidRDefault="00DD31DA" w:rsidP="00664B78">
      <w:pPr>
        <w:pStyle w:val="Puslapioinaostekstas"/>
        <w:jc w:val="both"/>
      </w:pPr>
      <w:r>
        <w:t xml:space="preserve">Prieiga internetu: </w:t>
      </w:r>
      <w:hyperlink r:id="rId1" w:history="1">
        <w:r w:rsidRPr="008650CD">
          <w:rPr>
            <w:rStyle w:val="Hipersaitas"/>
            <w:color w:val="000000" w:themeColor="text1"/>
            <w:u w:val="none"/>
          </w:rPr>
          <w:t>https://e-seimas.lrs.lt/portal/legalAct/lt/TAK/c5c92150e58411eda305cb3bdf2af4d8?positionInSearchResults=1&amp;searchModelUUID=f6c972ee-d20f-4c5c-8490-bc4b6b7c496c</w:t>
        </w:r>
      </w:hyperlink>
      <w:r w:rsidRPr="008650CD">
        <w:rPr>
          <w:color w:val="000000" w:themeColor="text1"/>
        </w:rPr>
        <w:t xml:space="preserve">; </w:t>
      </w:r>
      <w:r>
        <w:rPr>
          <w:color w:val="000000" w:themeColor="text1"/>
        </w:rPr>
        <w:t xml:space="preserve">2025-09-09 d. Korupcijos rizikos analizės išvada „Traktorių, savaeigių ir žemės ūkio mašinų bei jų priekabų registravimo ir techninės priežiūros procesuose“. Prieiga internetu: </w:t>
      </w:r>
      <w:r w:rsidRPr="008650CD">
        <w:rPr>
          <w:color w:val="000000" w:themeColor="text1"/>
        </w:rPr>
        <w:t>chrome-extension://efaidnbmnnnibpcajpcglclefindmkaj/https://www.stt.lt/data/public/uploads/2025/09/kra-isvada-traktoriai-siuntimui.pdf</w:t>
      </w:r>
      <w:r>
        <w:rPr>
          <w:color w:val="000000" w:themeColor="text1"/>
        </w:rPr>
        <w:t>.</w:t>
      </w:r>
    </w:p>
  </w:footnote>
  <w:footnote w:id="2">
    <w:p w14:paraId="7CCF8F6B" w14:textId="77777777" w:rsidR="00DD31DA" w:rsidRPr="00F71E89" w:rsidRDefault="00DD31DA" w:rsidP="00FC0804">
      <w:pPr>
        <w:pStyle w:val="Puslapioinaostekstas"/>
        <w:jc w:val="both"/>
      </w:pPr>
      <w:r>
        <w:rPr>
          <w:rStyle w:val="Puslapioinaosnuoroda"/>
        </w:rPr>
        <w:footnoteRef/>
      </w:r>
      <w:r>
        <w:t xml:space="preserve"> </w:t>
      </w:r>
      <w:r w:rsidRPr="00FC0804">
        <w:t xml:space="preserve">Lietuvos Respublikos saugaus eismo automobilių keliais įstatymo Nr. VIII-2043 1,  2,  6, 10, 11, </w:t>
      </w:r>
      <w:r w:rsidRPr="00FC0804">
        <w:rPr>
          <w:lang w:val="en-US"/>
        </w:rPr>
        <w:t xml:space="preserve">12, </w:t>
      </w:r>
      <w:r w:rsidRPr="00FC0804">
        <w:t>13, 17,</w:t>
      </w:r>
      <w:r w:rsidRPr="00FC0804">
        <w:rPr>
          <w:b/>
          <w:bCs/>
        </w:rPr>
        <w:t xml:space="preserve"> </w:t>
      </w:r>
      <w:r w:rsidRPr="00FC0804">
        <w:t>17</w:t>
      </w:r>
      <w:r w:rsidRPr="00FC0804">
        <w:rPr>
          <w:vertAlign w:val="superscript"/>
        </w:rPr>
        <w:t>1</w:t>
      </w:r>
      <w:r w:rsidRPr="00FC0804">
        <w:t>, 25, 26, 29, 29</w:t>
      </w:r>
      <w:r w:rsidRPr="00FC0804">
        <w:rPr>
          <w:vertAlign w:val="superscript"/>
        </w:rPr>
        <w:t>1</w:t>
      </w:r>
      <w:r w:rsidRPr="00FC0804">
        <w:t xml:space="preserve"> ir 33</w:t>
      </w:r>
      <w:r w:rsidRPr="00FC0804">
        <w:rPr>
          <w:b/>
          <w:bCs/>
        </w:rPr>
        <w:t xml:space="preserve"> </w:t>
      </w:r>
      <w:r w:rsidRPr="00FC0804">
        <w:t>straipsnių pakeitimo įstatymo projekt</w:t>
      </w:r>
      <w:r>
        <w:t>as.</w:t>
      </w:r>
    </w:p>
  </w:footnote>
  <w:footnote w:id="3">
    <w:p w14:paraId="0F07086B" w14:textId="77777777" w:rsidR="00DD31DA" w:rsidRDefault="00DD31DA" w:rsidP="00607D56">
      <w:pPr>
        <w:pStyle w:val="Puslapioinaostekstas"/>
        <w:jc w:val="both"/>
      </w:pPr>
      <w:r>
        <w:rPr>
          <w:rStyle w:val="Puslapioinaosnuoroda"/>
        </w:rPr>
        <w:footnoteRef/>
      </w:r>
      <w:r>
        <w:t xml:space="preserve"> </w:t>
      </w:r>
      <w:r>
        <w:t>Projekto aiškinamajame rašte nurodyta, kad S</w:t>
      </w:r>
      <w:r w:rsidRPr="006E1C88">
        <w:t xml:space="preserve">pecialiųjų tyrimu tarnybai 2023 m. atliekant ikiteisminį tyrimą dėl galimo kyšininkavimo ir prekybos poveikiu ikiteisminio tyrimo duomenys leido pagrįstai įtarti, kad tam tikrų automobilių techninės apžiūros buvo atliktos kontrolieriui už apžiūros atlikimą gavus nepagrįstą atlygį, dėl ko kilo pagrįstų abejonių dėl automobilių techninės apžiūros objektyvumo ir šių automobilių techninės būklės atitikties nustatytiems reikalavimams. </w:t>
      </w:r>
      <w:r>
        <w:t>Tačiau v</w:t>
      </w:r>
      <w:r w:rsidRPr="006E1C88">
        <w:t>ėliau sekę šio konkretaus atvejo įvykai parodė teisinio reguliavimo spragas, kurios tokiais atvejais neleidžia pareikalauti, kad transporto priemonių valdytojai (savininkai) pateiktų transporto priemones neeilinei apžiūra</w:t>
      </w:r>
      <w:r>
        <w:t xml:space="preserve">i. Prieiga internetu: </w:t>
      </w:r>
      <w:r w:rsidRPr="006E1C88">
        <w:t>https://e-seimas.lrs.lt/portal/legalAct/lt/TAK/f7b2f01118c111f1a9c8d1c199560a47?jfwid=64pjfih3y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6834"/>
      <w:docPartObj>
        <w:docPartGallery w:val="Page Numbers (Top of Page)"/>
        <w:docPartUnique/>
      </w:docPartObj>
    </w:sdtPr>
    <w:sdtEndPr/>
    <w:sdtContent>
      <w:p w14:paraId="15A37DA6" w14:textId="1DB5DCFC" w:rsidR="00D25182" w:rsidRDefault="00D25182">
        <w:pPr>
          <w:pStyle w:val="Antrats"/>
          <w:jc w:val="center"/>
        </w:pPr>
        <w:r>
          <w:fldChar w:fldCharType="begin"/>
        </w:r>
        <w:r>
          <w:instrText>PAGE   \* MERGEFORMAT</w:instrText>
        </w:r>
        <w:r>
          <w:fldChar w:fldCharType="separate"/>
        </w:r>
        <w:r>
          <w:t>2</w:t>
        </w:r>
        <w:r>
          <w:fldChar w:fldCharType="end"/>
        </w:r>
      </w:p>
    </w:sdtContent>
  </w:sdt>
  <w:p w14:paraId="13C68327" w14:textId="77777777" w:rsidR="00036194" w:rsidRDefault="000361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17A"/>
    <w:multiLevelType w:val="multilevel"/>
    <w:tmpl w:val="C99A8C9E"/>
    <w:lvl w:ilvl="0">
      <w:start w:val="2"/>
      <w:numFmt w:val="decimal"/>
      <w:lvlText w:val="%1."/>
      <w:lvlJc w:val="left"/>
      <w:pPr>
        <w:ind w:left="360" w:hanging="360"/>
      </w:pPr>
      <w:rPr>
        <w:rFonts w:hint="default"/>
      </w:rPr>
    </w:lvl>
    <w:lvl w:ilvl="1">
      <w:start w:val="3"/>
      <w:numFmt w:val="decimal"/>
      <w:lvlText w:val="%1.%2."/>
      <w:lvlJc w:val="left"/>
      <w:pPr>
        <w:ind w:left="1789" w:hanging="360"/>
      </w:pPr>
      <w:rPr>
        <w:rFonts w:hint="default"/>
        <w:i w:val="0"/>
        <w:iCs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22740114"/>
    <w:multiLevelType w:val="multilevel"/>
    <w:tmpl w:val="323A40B2"/>
    <w:lvl w:ilvl="0">
      <w:start w:val="1"/>
      <w:numFmt w:val="decimal"/>
      <w:lvlText w:val="%1."/>
      <w:lvlJc w:val="left"/>
      <w:pPr>
        <w:ind w:left="792" w:hanging="792"/>
      </w:pPr>
      <w:rPr>
        <w:rFonts w:hint="default"/>
      </w:rPr>
    </w:lvl>
    <w:lvl w:ilvl="1">
      <w:start w:val="1"/>
      <w:numFmt w:val="decimal"/>
      <w:lvlText w:val="%1.%2."/>
      <w:lvlJc w:val="left"/>
      <w:pPr>
        <w:ind w:left="1057" w:hanging="792"/>
      </w:pPr>
      <w:rPr>
        <w:rFonts w:hint="default"/>
      </w:rPr>
    </w:lvl>
    <w:lvl w:ilvl="2">
      <w:start w:val="1"/>
      <w:numFmt w:val="decimal"/>
      <w:lvlText w:val="%1.%2.%3."/>
      <w:lvlJc w:val="left"/>
      <w:pPr>
        <w:ind w:left="1322" w:hanging="792"/>
      </w:pPr>
      <w:rPr>
        <w:rFonts w:hint="default"/>
      </w:rPr>
    </w:lvl>
    <w:lvl w:ilvl="3">
      <w:start w:val="1"/>
      <w:numFmt w:val="decimal"/>
      <w:lvlText w:val="%1.%2.%3.%4."/>
      <w:lvlJc w:val="left"/>
      <w:pPr>
        <w:ind w:left="1587" w:hanging="792"/>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2" w15:restartNumberingAfterBreak="0">
    <w:nsid w:val="23C62BCF"/>
    <w:multiLevelType w:val="hybridMultilevel"/>
    <w:tmpl w:val="1A7AFD0E"/>
    <w:lvl w:ilvl="0" w:tplc="BDF87E76">
      <w:start w:val="2"/>
      <w:numFmt w:val="bullet"/>
      <w:lvlText w:val="-"/>
      <w:lvlJc w:val="left"/>
      <w:pPr>
        <w:ind w:left="954" w:hanging="360"/>
      </w:pPr>
      <w:rPr>
        <w:rFonts w:ascii="Times New Roman" w:eastAsia="Times New Roman" w:hAnsi="Times New Roman" w:cs="Times New Roman" w:hint="default"/>
      </w:rPr>
    </w:lvl>
    <w:lvl w:ilvl="1" w:tplc="04270003" w:tentative="1">
      <w:start w:val="1"/>
      <w:numFmt w:val="bullet"/>
      <w:lvlText w:val="o"/>
      <w:lvlJc w:val="left"/>
      <w:pPr>
        <w:ind w:left="1674" w:hanging="360"/>
      </w:pPr>
      <w:rPr>
        <w:rFonts w:ascii="Courier New" w:hAnsi="Courier New" w:cs="Courier New" w:hint="default"/>
      </w:rPr>
    </w:lvl>
    <w:lvl w:ilvl="2" w:tplc="04270005" w:tentative="1">
      <w:start w:val="1"/>
      <w:numFmt w:val="bullet"/>
      <w:lvlText w:val=""/>
      <w:lvlJc w:val="left"/>
      <w:pPr>
        <w:ind w:left="2394" w:hanging="360"/>
      </w:pPr>
      <w:rPr>
        <w:rFonts w:ascii="Wingdings" w:hAnsi="Wingdings" w:hint="default"/>
      </w:rPr>
    </w:lvl>
    <w:lvl w:ilvl="3" w:tplc="04270001" w:tentative="1">
      <w:start w:val="1"/>
      <w:numFmt w:val="bullet"/>
      <w:lvlText w:val=""/>
      <w:lvlJc w:val="left"/>
      <w:pPr>
        <w:ind w:left="3114" w:hanging="360"/>
      </w:pPr>
      <w:rPr>
        <w:rFonts w:ascii="Symbol" w:hAnsi="Symbol" w:hint="default"/>
      </w:rPr>
    </w:lvl>
    <w:lvl w:ilvl="4" w:tplc="04270003" w:tentative="1">
      <w:start w:val="1"/>
      <w:numFmt w:val="bullet"/>
      <w:lvlText w:val="o"/>
      <w:lvlJc w:val="left"/>
      <w:pPr>
        <w:ind w:left="3834" w:hanging="360"/>
      </w:pPr>
      <w:rPr>
        <w:rFonts w:ascii="Courier New" w:hAnsi="Courier New" w:cs="Courier New" w:hint="default"/>
      </w:rPr>
    </w:lvl>
    <w:lvl w:ilvl="5" w:tplc="04270005" w:tentative="1">
      <w:start w:val="1"/>
      <w:numFmt w:val="bullet"/>
      <w:lvlText w:val=""/>
      <w:lvlJc w:val="left"/>
      <w:pPr>
        <w:ind w:left="4554" w:hanging="360"/>
      </w:pPr>
      <w:rPr>
        <w:rFonts w:ascii="Wingdings" w:hAnsi="Wingdings" w:hint="default"/>
      </w:rPr>
    </w:lvl>
    <w:lvl w:ilvl="6" w:tplc="04270001" w:tentative="1">
      <w:start w:val="1"/>
      <w:numFmt w:val="bullet"/>
      <w:lvlText w:val=""/>
      <w:lvlJc w:val="left"/>
      <w:pPr>
        <w:ind w:left="5274" w:hanging="360"/>
      </w:pPr>
      <w:rPr>
        <w:rFonts w:ascii="Symbol" w:hAnsi="Symbol" w:hint="default"/>
      </w:rPr>
    </w:lvl>
    <w:lvl w:ilvl="7" w:tplc="04270003" w:tentative="1">
      <w:start w:val="1"/>
      <w:numFmt w:val="bullet"/>
      <w:lvlText w:val="o"/>
      <w:lvlJc w:val="left"/>
      <w:pPr>
        <w:ind w:left="5994" w:hanging="360"/>
      </w:pPr>
      <w:rPr>
        <w:rFonts w:ascii="Courier New" w:hAnsi="Courier New" w:cs="Courier New" w:hint="default"/>
      </w:rPr>
    </w:lvl>
    <w:lvl w:ilvl="8" w:tplc="04270005" w:tentative="1">
      <w:start w:val="1"/>
      <w:numFmt w:val="bullet"/>
      <w:lvlText w:val=""/>
      <w:lvlJc w:val="left"/>
      <w:pPr>
        <w:ind w:left="6714" w:hanging="360"/>
      </w:pPr>
      <w:rPr>
        <w:rFonts w:ascii="Wingdings" w:hAnsi="Wingdings" w:hint="default"/>
      </w:rPr>
    </w:lvl>
  </w:abstractNum>
  <w:abstractNum w:abstractNumId="3" w15:restartNumberingAfterBreak="0">
    <w:nsid w:val="767D7DF7"/>
    <w:multiLevelType w:val="multilevel"/>
    <w:tmpl w:val="28D0F63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ascii="Times New Roman" w:hAnsi="Times New Roman" w:cs="Times New Roman" w:hint="default"/>
        <w:i w:val="0"/>
        <w:iCs w:val="0"/>
        <w:sz w:val="24"/>
        <w:szCs w:val="24"/>
      </w:rPr>
    </w:lvl>
    <w:lvl w:ilvl="2">
      <w:start w:val="1"/>
      <w:numFmt w:val="decimal"/>
      <w:isLgl/>
      <w:lvlText w:val="%1.%2.%3."/>
      <w:lvlJc w:val="left"/>
      <w:pPr>
        <w:ind w:left="2149" w:hanging="720"/>
      </w:pPr>
      <w:rPr>
        <w:rFonts w:hint="default"/>
        <w:b w:val="0"/>
        <w:bCs w:val="0"/>
        <w:i w:val="0"/>
        <w:i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A304AB7"/>
    <w:multiLevelType w:val="hybridMultilevel"/>
    <w:tmpl w:val="BE623400"/>
    <w:lvl w:ilvl="0" w:tplc="E38AB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885725214">
    <w:abstractNumId w:val="2"/>
  </w:num>
  <w:num w:numId="2" w16cid:durableId="1914507382">
    <w:abstractNumId w:val="3"/>
  </w:num>
  <w:num w:numId="3" w16cid:durableId="1021711804">
    <w:abstractNumId w:val="0"/>
  </w:num>
  <w:num w:numId="4" w16cid:durableId="512110020">
    <w:abstractNumId w:val="4"/>
  </w:num>
  <w:num w:numId="5" w16cid:durableId="76284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D"/>
    <w:rsid w:val="0000596C"/>
    <w:rsid w:val="00010605"/>
    <w:rsid w:val="00011175"/>
    <w:rsid w:val="000212FB"/>
    <w:rsid w:val="00024467"/>
    <w:rsid w:val="00036194"/>
    <w:rsid w:val="0003782B"/>
    <w:rsid w:val="000444E2"/>
    <w:rsid w:val="00080DD8"/>
    <w:rsid w:val="00082335"/>
    <w:rsid w:val="00087D7A"/>
    <w:rsid w:val="000911E2"/>
    <w:rsid w:val="000A2731"/>
    <w:rsid w:val="000A2DB5"/>
    <w:rsid w:val="000A38A0"/>
    <w:rsid w:val="000A4A93"/>
    <w:rsid w:val="000B33F8"/>
    <w:rsid w:val="000B5A34"/>
    <w:rsid w:val="000C59FE"/>
    <w:rsid w:val="000D5309"/>
    <w:rsid w:val="000F375D"/>
    <w:rsid w:val="000F41AA"/>
    <w:rsid w:val="00100C07"/>
    <w:rsid w:val="00101F24"/>
    <w:rsid w:val="00111B1A"/>
    <w:rsid w:val="0011308B"/>
    <w:rsid w:val="00124F93"/>
    <w:rsid w:val="00125522"/>
    <w:rsid w:val="00125967"/>
    <w:rsid w:val="001275F6"/>
    <w:rsid w:val="00134499"/>
    <w:rsid w:val="00136302"/>
    <w:rsid w:val="00143FCC"/>
    <w:rsid w:val="00151C16"/>
    <w:rsid w:val="001556E1"/>
    <w:rsid w:val="0015587C"/>
    <w:rsid w:val="00167470"/>
    <w:rsid w:val="00172285"/>
    <w:rsid w:val="00175757"/>
    <w:rsid w:val="00180FEC"/>
    <w:rsid w:val="001857AC"/>
    <w:rsid w:val="00186864"/>
    <w:rsid w:val="001908C4"/>
    <w:rsid w:val="00193891"/>
    <w:rsid w:val="001945F8"/>
    <w:rsid w:val="001C0D2D"/>
    <w:rsid w:val="001C1E86"/>
    <w:rsid w:val="001E720C"/>
    <w:rsid w:val="00201A94"/>
    <w:rsid w:val="00204109"/>
    <w:rsid w:val="0020642D"/>
    <w:rsid w:val="00210A9F"/>
    <w:rsid w:val="00211B37"/>
    <w:rsid w:val="00222282"/>
    <w:rsid w:val="00226117"/>
    <w:rsid w:val="002273E3"/>
    <w:rsid w:val="00235BAE"/>
    <w:rsid w:val="00240AC5"/>
    <w:rsid w:val="00253DB1"/>
    <w:rsid w:val="00257237"/>
    <w:rsid w:val="00257C18"/>
    <w:rsid w:val="002612E9"/>
    <w:rsid w:val="0026282A"/>
    <w:rsid w:val="00263790"/>
    <w:rsid w:val="002677A8"/>
    <w:rsid w:val="00280FE5"/>
    <w:rsid w:val="00283C10"/>
    <w:rsid w:val="002855B9"/>
    <w:rsid w:val="00293A06"/>
    <w:rsid w:val="0029551D"/>
    <w:rsid w:val="00295EDA"/>
    <w:rsid w:val="00297F96"/>
    <w:rsid w:val="002B09CF"/>
    <w:rsid w:val="002B185D"/>
    <w:rsid w:val="002B1FA0"/>
    <w:rsid w:val="002B3062"/>
    <w:rsid w:val="002C4BE8"/>
    <w:rsid w:val="002D1369"/>
    <w:rsid w:val="002D1FAE"/>
    <w:rsid w:val="002D1FF9"/>
    <w:rsid w:val="002D201F"/>
    <w:rsid w:val="002E685C"/>
    <w:rsid w:val="002F0AD4"/>
    <w:rsid w:val="0030523F"/>
    <w:rsid w:val="003065C8"/>
    <w:rsid w:val="003110C0"/>
    <w:rsid w:val="00313492"/>
    <w:rsid w:val="00314841"/>
    <w:rsid w:val="003221D0"/>
    <w:rsid w:val="003305A7"/>
    <w:rsid w:val="003311BA"/>
    <w:rsid w:val="00331AE2"/>
    <w:rsid w:val="00334096"/>
    <w:rsid w:val="003350E9"/>
    <w:rsid w:val="0033556E"/>
    <w:rsid w:val="003377D1"/>
    <w:rsid w:val="00351748"/>
    <w:rsid w:val="003578E2"/>
    <w:rsid w:val="003616BE"/>
    <w:rsid w:val="00375A95"/>
    <w:rsid w:val="0037709B"/>
    <w:rsid w:val="00384BCF"/>
    <w:rsid w:val="00387931"/>
    <w:rsid w:val="0039102D"/>
    <w:rsid w:val="00395E7B"/>
    <w:rsid w:val="003A0D95"/>
    <w:rsid w:val="003A6CB4"/>
    <w:rsid w:val="003A6DB5"/>
    <w:rsid w:val="003B2F00"/>
    <w:rsid w:val="003B75E1"/>
    <w:rsid w:val="003C0B2D"/>
    <w:rsid w:val="003C66D9"/>
    <w:rsid w:val="003C6AEC"/>
    <w:rsid w:val="003D0962"/>
    <w:rsid w:val="003D0BFD"/>
    <w:rsid w:val="003D1971"/>
    <w:rsid w:val="003D579E"/>
    <w:rsid w:val="003D653B"/>
    <w:rsid w:val="003D793C"/>
    <w:rsid w:val="003E3ED7"/>
    <w:rsid w:val="003F39D9"/>
    <w:rsid w:val="003F3B61"/>
    <w:rsid w:val="003F4D45"/>
    <w:rsid w:val="00400B5B"/>
    <w:rsid w:val="00400F36"/>
    <w:rsid w:val="004058E5"/>
    <w:rsid w:val="004174DA"/>
    <w:rsid w:val="00421026"/>
    <w:rsid w:val="004239E9"/>
    <w:rsid w:val="00437A4E"/>
    <w:rsid w:val="004523F5"/>
    <w:rsid w:val="00470451"/>
    <w:rsid w:val="00471DD3"/>
    <w:rsid w:val="00472E32"/>
    <w:rsid w:val="00472F3D"/>
    <w:rsid w:val="00473F90"/>
    <w:rsid w:val="0049632E"/>
    <w:rsid w:val="004964AD"/>
    <w:rsid w:val="00496E06"/>
    <w:rsid w:val="004A23A4"/>
    <w:rsid w:val="004A4621"/>
    <w:rsid w:val="004C17F4"/>
    <w:rsid w:val="004C1877"/>
    <w:rsid w:val="004C3A1D"/>
    <w:rsid w:val="004D3519"/>
    <w:rsid w:val="004F22D9"/>
    <w:rsid w:val="004F2A3B"/>
    <w:rsid w:val="00501AE4"/>
    <w:rsid w:val="00507EE2"/>
    <w:rsid w:val="00512108"/>
    <w:rsid w:val="005245C7"/>
    <w:rsid w:val="00527861"/>
    <w:rsid w:val="005407FA"/>
    <w:rsid w:val="005502E8"/>
    <w:rsid w:val="00551058"/>
    <w:rsid w:val="00557895"/>
    <w:rsid w:val="00562B7F"/>
    <w:rsid w:val="00575697"/>
    <w:rsid w:val="00575CF7"/>
    <w:rsid w:val="00581006"/>
    <w:rsid w:val="005815E3"/>
    <w:rsid w:val="00583196"/>
    <w:rsid w:val="00585603"/>
    <w:rsid w:val="005917B3"/>
    <w:rsid w:val="005926DF"/>
    <w:rsid w:val="005A18CB"/>
    <w:rsid w:val="005A1E75"/>
    <w:rsid w:val="005A3A20"/>
    <w:rsid w:val="005B2CC3"/>
    <w:rsid w:val="005B2F89"/>
    <w:rsid w:val="005B3B4C"/>
    <w:rsid w:val="005B63C5"/>
    <w:rsid w:val="005B6CEE"/>
    <w:rsid w:val="005C01E5"/>
    <w:rsid w:val="005C38E7"/>
    <w:rsid w:val="005D070E"/>
    <w:rsid w:val="005D309C"/>
    <w:rsid w:val="005D588B"/>
    <w:rsid w:val="005D7969"/>
    <w:rsid w:val="005E50FD"/>
    <w:rsid w:val="005F0BDA"/>
    <w:rsid w:val="005F574E"/>
    <w:rsid w:val="005F67D8"/>
    <w:rsid w:val="006002FE"/>
    <w:rsid w:val="006005C8"/>
    <w:rsid w:val="00603185"/>
    <w:rsid w:val="00605B82"/>
    <w:rsid w:val="00607D56"/>
    <w:rsid w:val="00612B44"/>
    <w:rsid w:val="00614D03"/>
    <w:rsid w:val="00615ED6"/>
    <w:rsid w:val="006169AC"/>
    <w:rsid w:val="006211D9"/>
    <w:rsid w:val="00622396"/>
    <w:rsid w:val="006243DB"/>
    <w:rsid w:val="0063094A"/>
    <w:rsid w:val="00633F19"/>
    <w:rsid w:val="00635738"/>
    <w:rsid w:val="006403A8"/>
    <w:rsid w:val="00641260"/>
    <w:rsid w:val="00641A65"/>
    <w:rsid w:val="00641AF4"/>
    <w:rsid w:val="00647C1D"/>
    <w:rsid w:val="00647E1D"/>
    <w:rsid w:val="00651E70"/>
    <w:rsid w:val="00661ABB"/>
    <w:rsid w:val="00663C99"/>
    <w:rsid w:val="006643D2"/>
    <w:rsid w:val="00664B78"/>
    <w:rsid w:val="00670F3E"/>
    <w:rsid w:val="0067251B"/>
    <w:rsid w:val="00672C4B"/>
    <w:rsid w:val="00686DDD"/>
    <w:rsid w:val="00687C03"/>
    <w:rsid w:val="00692A83"/>
    <w:rsid w:val="006A6614"/>
    <w:rsid w:val="006A6952"/>
    <w:rsid w:val="006C5B6D"/>
    <w:rsid w:val="006C6D7E"/>
    <w:rsid w:val="006C70AB"/>
    <w:rsid w:val="006D6925"/>
    <w:rsid w:val="006E1F5F"/>
    <w:rsid w:val="006E2DE4"/>
    <w:rsid w:val="006F23F8"/>
    <w:rsid w:val="006F4BC4"/>
    <w:rsid w:val="006F5D61"/>
    <w:rsid w:val="00702B82"/>
    <w:rsid w:val="0070399B"/>
    <w:rsid w:val="00705B41"/>
    <w:rsid w:val="007101EE"/>
    <w:rsid w:val="00716006"/>
    <w:rsid w:val="00716E07"/>
    <w:rsid w:val="00720F95"/>
    <w:rsid w:val="007216E0"/>
    <w:rsid w:val="00725A03"/>
    <w:rsid w:val="00727797"/>
    <w:rsid w:val="00727E94"/>
    <w:rsid w:val="007322EF"/>
    <w:rsid w:val="00736217"/>
    <w:rsid w:val="00742250"/>
    <w:rsid w:val="00742B79"/>
    <w:rsid w:val="00746E93"/>
    <w:rsid w:val="007509E2"/>
    <w:rsid w:val="0075316A"/>
    <w:rsid w:val="00757E7D"/>
    <w:rsid w:val="00760F81"/>
    <w:rsid w:val="007612C7"/>
    <w:rsid w:val="00771015"/>
    <w:rsid w:val="007759B5"/>
    <w:rsid w:val="00776631"/>
    <w:rsid w:val="00780AA0"/>
    <w:rsid w:val="00787158"/>
    <w:rsid w:val="007947E5"/>
    <w:rsid w:val="007A0E85"/>
    <w:rsid w:val="007A28B7"/>
    <w:rsid w:val="007A487A"/>
    <w:rsid w:val="007A7B86"/>
    <w:rsid w:val="007B3811"/>
    <w:rsid w:val="007B56CD"/>
    <w:rsid w:val="007B5B40"/>
    <w:rsid w:val="007C12AD"/>
    <w:rsid w:val="007F4D2C"/>
    <w:rsid w:val="00805042"/>
    <w:rsid w:val="008113EB"/>
    <w:rsid w:val="008168A7"/>
    <w:rsid w:val="0082151B"/>
    <w:rsid w:val="0086098F"/>
    <w:rsid w:val="008638B2"/>
    <w:rsid w:val="00872D10"/>
    <w:rsid w:val="00875B90"/>
    <w:rsid w:val="00892793"/>
    <w:rsid w:val="00892DCA"/>
    <w:rsid w:val="00895B26"/>
    <w:rsid w:val="0089635F"/>
    <w:rsid w:val="008965D0"/>
    <w:rsid w:val="008A2977"/>
    <w:rsid w:val="008B0342"/>
    <w:rsid w:val="008B0ED1"/>
    <w:rsid w:val="008B306A"/>
    <w:rsid w:val="008C082B"/>
    <w:rsid w:val="008C2EDA"/>
    <w:rsid w:val="008D045F"/>
    <w:rsid w:val="008D04E7"/>
    <w:rsid w:val="008E15FD"/>
    <w:rsid w:val="008E1998"/>
    <w:rsid w:val="008F0295"/>
    <w:rsid w:val="008F1DC7"/>
    <w:rsid w:val="008F4D68"/>
    <w:rsid w:val="008F5944"/>
    <w:rsid w:val="008F5B56"/>
    <w:rsid w:val="008F618F"/>
    <w:rsid w:val="008F709E"/>
    <w:rsid w:val="00904445"/>
    <w:rsid w:val="009107B9"/>
    <w:rsid w:val="00913C3B"/>
    <w:rsid w:val="009152DE"/>
    <w:rsid w:val="009160D6"/>
    <w:rsid w:val="00921788"/>
    <w:rsid w:val="009237C8"/>
    <w:rsid w:val="00924182"/>
    <w:rsid w:val="00925022"/>
    <w:rsid w:val="009263BE"/>
    <w:rsid w:val="00926DBE"/>
    <w:rsid w:val="00932FC0"/>
    <w:rsid w:val="00956D8F"/>
    <w:rsid w:val="00957E08"/>
    <w:rsid w:val="00975296"/>
    <w:rsid w:val="0098669F"/>
    <w:rsid w:val="009971DE"/>
    <w:rsid w:val="009B2A33"/>
    <w:rsid w:val="009B44FB"/>
    <w:rsid w:val="009C31E1"/>
    <w:rsid w:val="009C7E03"/>
    <w:rsid w:val="009D0C06"/>
    <w:rsid w:val="009D160A"/>
    <w:rsid w:val="009D51BF"/>
    <w:rsid w:val="009E26DF"/>
    <w:rsid w:val="009E3617"/>
    <w:rsid w:val="009E7897"/>
    <w:rsid w:val="009F47F0"/>
    <w:rsid w:val="00A11ABB"/>
    <w:rsid w:val="00A11B11"/>
    <w:rsid w:val="00A13D95"/>
    <w:rsid w:val="00A154AB"/>
    <w:rsid w:val="00A173E5"/>
    <w:rsid w:val="00A17454"/>
    <w:rsid w:val="00A24006"/>
    <w:rsid w:val="00A24BD0"/>
    <w:rsid w:val="00A32C8A"/>
    <w:rsid w:val="00A462FF"/>
    <w:rsid w:val="00A5253D"/>
    <w:rsid w:val="00A5372F"/>
    <w:rsid w:val="00A54680"/>
    <w:rsid w:val="00A65A10"/>
    <w:rsid w:val="00A70FD2"/>
    <w:rsid w:val="00A84F4A"/>
    <w:rsid w:val="00A92EEB"/>
    <w:rsid w:val="00A96488"/>
    <w:rsid w:val="00AA473C"/>
    <w:rsid w:val="00AB3734"/>
    <w:rsid w:val="00AB4A7E"/>
    <w:rsid w:val="00AC13E1"/>
    <w:rsid w:val="00AC3AB3"/>
    <w:rsid w:val="00AD299A"/>
    <w:rsid w:val="00AD59BF"/>
    <w:rsid w:val="00AD5E56"/>
    <w:rsid w:val="00AD720C"/>
    <w:rsid w:val="00AE08ED"/>
    <w:rsid w:val="00AE0963"/>
    <w:rsid w:val="00AE16DB"/>
    <w:rsid w:val="00AE7512"/>
    <w:rsid w:val="00B05953"/>
    <w:rsid w:val="00B14A73"/>
    <w:rsid w:val="00B14D67"/>
    <w:rsid w:val="00B16C4A"/>
    <w:rsid w:val="00B248D1"/>
    <w:rsid w:val="00B24EE7"/>
    <w:rsid w:val="00B2602E"/>
    <w:rsid w:val="00B324C3"/>
    <w:rsid w:val="00B3274A"/>
    <w:rsid w:val="00B3354A"/>
    <w:rsid w:val="00B3443B"/>
    <w:rsid w:val="00B34A83"/>
    <w:rsid w:val="00B3685A"/>
    <w:rsid w:val="00B42DB9"/>
    <w:rsid w:val="00B4390B"/>
    <w:rsid w:val="00B51441"/>
    <w:rsid w:val="00B57126"/>
    <w:rsid w:val="00B631E0"/>
    <w:rsid w:val="00B65059"/>
    <w:rsid w:val="00B73CFF"/>
    <w:rsid w:val="00B77435"/>
    <w:rsid w:val="00B82635"/>
    <w:rsid w:val="00BA1EF1"/>
    <w:rsid w:val="00BA34C2"/>
    <w:rsid w:val="00BB07AD"/>
    <w:rsid w:val="00BB17D1"/>
    <w:rsid w:val="00BB79F7"/>
    <w:rsid w:val="00BC0759"/>
    <w:rsid w:val="00BC3699"/>
    <w:rsid w:val="00BD6E7A"/>
    <w:rsid w:val="00BD7D85"/>
    <w:rsid w:val="00BE084D"/>
    <w:rsid w:val="00BF013B"/>
    <w:rsid w:val="00BF1F2D"/>
    <w:rsid w:val="00C013B1"/>
    <w:rsid w:val="00C259C9"/>
    <w:rsid w:val="00C31E76"/>
    <w:rsid w:val="00C4733B"/>
    <w:rsid w:val="00C51A76"/>
    <w:rsid w:val="00C62335"/>
    <w:rsid w:val="00C625C4"/>
    <w:rsid w:val="00C6621B"/>
    <w:rsid w:val="00C70BA6"/>
    <w:rsid w:val="00C96DBE"/>
    <w:rsid w:val="00CA1EC6"/>
    <w:rsid w:val="00CC37D3"/>
    <w:rsid w:val="00CD74E4"/>
    <w:rsid w:val="00CE04C4"/>
    <w:rsid w:val="00CE5E09"/>
    <w:rsid w:val="00CE72DD"/>
    <w:rsid w:val="00CF3864"/>
    <w:rsid w:val="00D003AE"/>
    <w:rsid w:val="00D04AE9"/>
    <w:rsid w:val="00D1047D"/>
    <w:rsid w:val="00D108F0"/>
    <w:rsid w:val="00D138FA"/>
    <w:rsid w:val="00D245AD"/>
    <w:rsid w:val="00D25182"/>
    <w:rsid w:val="00D26B0D"/>
    <w:rsid w:val="00D37CC6"/>
    <w:rsid w:val="00D40A13"/>
    <w:rsid w:val="00D40C4E"/>
    <w:rsid w:val="00D416BE"/>
    <w:rsid w:val="00D4262F"/>
    <w:rsid w:val="00D45F5A"/>
    <w:rsid w:val="00D62C78"/>
    <w:rsid w:val="00D87362"/>
    <w:rsid w:val="00D91FC9"/>
    <w:rsid w:val="00DA51C0"/>
    <w:rsid w:val="00DA5854"/>
    <w:rsid w:val="00DA6A08"/>
    <w:rsid w:val="00DC3664"/>
    <w:rsid w:val="00DC54A1"/>
    <w:rsid w:val="00DD0837"/>
    <w:rsid w:val="00DD0B8C"/>
    <w:rsid w:val="00DD31DA"/>
    <w:rsid w:val="00DD3708"/>
    <w:rsid w:val="00DD52AD"/>
    <w:rsid w:val="00DD7483"/>
    <w:rsid w:val="00DE22FA"/>
    <w:rsid w:val="00DE4F92"/>
    <w:rsid w:val="00DF087A"/>
    <w:rsid w:val="00DF509A"/>
    <w:rsid w:val="00DF622B"/>
    <w:rsid w:val="00E01D7C"/>
    <w:rsid w:val="00E02B53"/>
    <w:rsid w:val="00E05BBD"/>
    <w:rsid w:val="00E12EAF"/>
    <w:rsid w:val="00E26DA7"/>
    <w:rsid w:val="00E274B3"/>
    <w:rsid w:val="00E33F53"/>
    <w:rsid w:val="00E400DE"/>
    <w:rsid w:val="00E63E33"/>
    <w:rsid w:val="00E657D9"/>
    <w:rsid w:val="00E657E0"/>
    <w:rsid w:val="00E71960"/>
    <w:rsid w:val="00E72E71"/>
    <w:rsid w:val="00E76AD5"/>
    <w:rsid w:val="00E811CD"/>
    <w:rsid w:val="00E8677A"/>
    <w:rsid w:val="00E90607"/>
    <w:rsid w:val="00E97EAF"/>
    <w:rsid w:val="00EA6719"/>
    <w:rsid w:val="00EC5B67"/>
    <w:rsid w:val="00ED3EAB"/>
    <w:rsid w:val="00EE24D4"/>
    <w:rsid w:val="00EE4190"/>
    <w:rsid w:val="00EE4534"/>
    <w:rsid w:val="00EF6E06"/>
    <w:rsid w:val="00F04B09"/>
    <w:rsid w:val="00F13956"/>
    <w:rsid w:val="00F146F2"/>
    <w:rsid w:val="00F1696A"/>
    <w:rsid w:val="00F234E2"/>
    <w:rsid w:val="00F34F09"/>
    <w:rsid w:val="00F35A7F"/>
    <w:rsid w:val="00F41ADB"/>
    <w:rsid w:val="00F458F2"/>
    <w:rsid w:val="00F60E6F"/>
    <w:rsid w:val="00F71E89"/>
    <w:rsid w:val="00F77CF6"/>
    <w:rsid w:val="00F9611A"/>
    <w:rsid w:val="00FA2ADB"/>
    <w:rsid w:val="00FA60EF"/>
    <w:rsid w:val="00FA64EE"/>
    <w:rsid w:val="00FB3D01"/>
    <w:rsid w:val="00FC0804"/>
    <w:rsid w:val="00FC0A21"/>
    <w:rsid w:val="00FC1B2C"/>
    <w:rsid w:val="00FC3FFA"/>
    <w:rsid w:val="00FD22C1"/>
    <w:rsid w:val="00FD51CF"/>
    <w:rsid w:val="00FF3D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0335"/>
  <w15:chartTrackingRefBased/>
  <w15:docId w15:val="{0E95C0FA-3031-4116-A946-125B8274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9F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C59FE"/>
    <w:pPr>
      <w:spacing w:after="0" w:line="240" w:lineRule="auto"/>
    </w:pPr>
  </w:style>
  <w:style w:type="paragraph" w:styleId="Puslapioinaostekstas">
    <w:name w:val="footnote text"/>
    <w:aliases w:val="Footnote,Fußnote"/>
    <w:basedOn w:val="prastasis"/>
    <w:link w:val="PuslapioinaostekstasDiagrama"/>
    <w:unhideWhenUsed/>
    <w:rsid w:val="00F34F09"/>
    <w:rPr>
      <w:sz w:val="20"/>
    </w:rPr>
  </w:style>
  <w:style w:type="character" w:customStyle="1" w:styleId="PuslapioinaostekstasDiagrama">
    <w:name w:val="Puslapio išnašos tekstas Diagrama"/>
    <w:aliases w:val="Footnote Diagrama,Fußnote Diagrama"/>
    <w:basedOn w:val="Numatytasispastraiposriftas"/>
    <w:link w:val="Puslapioinaostekstas"/>
    <w:qFormat/>
    <w:rsid w:val="00F34F09"/>
    <w:rPr>
      <w:rFonts w:ascii="Times New Roman" w:eastAsia="Times New Roman" w:hAnsi="Times New Roman" w:cs="Times New Roman"/>
      <w:sz w:val="20"/>
      <w:szCs w:val="20"/>
    </w:r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F34F09"/>
    <w:rPr>
      <w:vertAlign w:val="superscript"/>
    </w:rPr>
  </w:style>
  <w:style w:type="paragraph" w:styleId="Pataisymai">
    <w:name w:val="Revision"/>
    <w:hidden/>
    <w:uiPriority w:val="99"/>
    <w:semiHidden/>
    <w:rsid w:val="00D91FC9"/>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9635F"/>
    <w:pPr>
      <w:tabs>
        <w:tab w:val="center" w:pos="4513"/>
        <w:tab w:val="right" w:pos="9026"/>
      </w:tabs>
    </w:pPr>
  </w:style>
  <w:style w:type="character" w:customStyle="1" w:styleId="AntratsDiagrama">
    <w:name w:val="Antraštės Diagrama"/>
    <w:basedOn w:val="Numatytasispastraiposriftas"/>
    <w:link w:val="Antrats"/>
    <w:uiPriority w:val="99"/>
    <w:rsid w:val="0089635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9635F"/>
    <w:pPr>
      <w:tabs>
        <w:tab w:val="center" w:pos="4513"/>
        <w:tab w:val="right" w:pos="9026"/>
      </w:tabs>
    </w:pPr>
  </w:style>
  <w:style w:type="character" w:customStyle="1" w:styleId="PoratDiagrama">
    <w:name w:val="Poraštė Diagrama"/>
    <w:basedOn w:val="Numatytasispastraiposriftas"/>
    <w:link w:val="Porat"/>
    <w:uiPriority w:val="99"/>
    <w:rsid w:val="0089635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416BE"/>
    <w:rPr>
      <w:color w:val="0563C1" w:themeColor="hyperlink"/>
      <w:u w:val="single"/>
    </w:rPr>
  </w:style>
  <w:style w:type="paragraph" w:styleId="Sraopastraipa">
    <w:name w:val="List Paragraph"/>
    <w:basedOn w:val="prastasis"/>
    <w:uiPriority w:val="34"/>
    <w:qFormat/>
    <w:rsid w:val="00B77435"/>
    <w:pPr>
      <w:spacing w:after="160" w:line="259" w:lineRule="auto"/>
      <w:ind w:left="720"/>
      <w:contextualSpacing/>
    </w:pPr>
    <w:rPr>
      <w:rFonts w:asciiTheme="minorHAnsi" w:eastAsiaTheme="minorHAnsi" w:hAnsiTheme="minorHAnsi" w:cstheme="minorBidi"/>
      <w:sz w:val="22"/>
      <w:szCs w:val="22"/>
    </w:rPr>
  </w:style>
  <w:style w:type="character" w:styleId="Perirtashipersaitas">
    <w:name w:val="FollowedHyperlink"/>
    <w:basedOn w:val="Numatytasispastraiposriftas"/>
    <w:uiPriority w:val="99"/>
    <w:semiHidden/>
    <w:unhideWhenUsed/>
    <w:rsid w:val="00633F19"/>
    <w:rPr>
      <w:color w:val="954F72" w:themeColor="followedHyperlink"/>
      <w:u w:val="single"/>
    </w:rPr>
  </w:style>
  <w:style w:type="character" w:styleId="Komentaronuoroda">
    <w:name w:val="annotation reference"/>
    <w:basedOn w:val="Numatytasispastraiposriftas"/>
    <w:uiPriority w:val="99"/>
    <w:semiHidden/>
    <w:unhideWhenUsed/>
    <w:rsid w:val="00E02B53"/>
    <w:rPr>
      <w:sz w:val="16"/>
      <w:szCs w:val="16"/>
    </w:rPr>
  </w:style>
  <w:style w:type="paragraph" w:styleId="Komentarotekstas">
    <w:name w:val="annotation text"/>
    <w:basedOn w:val="prastasis"/>
    <w:link w:val="KomentarotekstasDiagrama"/>
    <w:uiPriority w:val="99"/>
    <w:unhideWhenUsed/>
    <w:rsid w:val="00E02B53"/>
    <w:rPr>
      <w:sz w:val="20"/>
    </w:rPr>
  </w:style>
  <w:style w:type="character" w:customStyle="1" w:styleId="KomentarotekstasDiagrama">
    <w:name w:val="Komentaro tekstas Diagrama"/>
    <w:basedOn w:val="Numatytasispastraiposriftas"/>
    <w:link w:val="Komentarotekstas"/>
    <w:uiPriority w:val="99"/>
    <w:rsid w:val="00E02B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2B53"/>
    <w:rPr>
      <w:b/>
      <w:bCs/>
    </w:rPr>
  </w:style>
  <w:style w:type="character" w:customStyle="1" w:styleId="KomentarotemaDiagrama">
    <w:name w:val="Komentaro tema Diagrama"/>
    <w:basedOn w:val="KomentarotekstasDiagrama"/>
    <w:link w:val="Komentarotema"/>
    <w:uiPriority w:val="99"/>
    <w:semiHidden/>
    <w:rsid w:val="00E02B53"/>
    <w:rPr>
      <w:rFonts w:ascii="Times New Roman" w:eastAsia="Times New Roman" w:hAnsi="Times New Roman" w:cs="Times New Roman"/>
      <w:b/>
      <w:bCs/>
      <w:sz w:val="20"/>
      <w:szCs w:val="20"/>
    </w:rPr>
  </w:style>
  <w:style w:type="table" w:styleId="Lentelstinklelis">
    <w:name w:val="Table Grid"/>
    <w:basedOn w:val="prastojilentel"/>
    <w:uiPriority w:val="59"/>
    <w:rsid w:val="0051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c5c92150e58411eda305cb3bdf2af4d8?positionInSearchResults=1&amp;searchModelUUID=f6c972ee-d20f-4c5c-8490-bc4b6b7c49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8036-ECEC-4894-BD25-460AAA16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12749</Words>
  <Characters>7268</Characters>
  <Application>Microsoft Office Word</Application>
  <DocSecurity>4</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Rukienė</dc:creator>
  <cp:lastModifiedBy>Joana Narkevičienė</cp:lastModifiedBy>
  <cp:revision>2</cp:revision>
  <cp:lastPrinted>2026-06-03T13:45:00Z</cp:lastPrinted>
  <dcterms:created xsi:type="dcterms:W3CDTF">2026-06-22T07:34:00Z</dcterms:created>
  <dcterms:modified xsi:type="dcterms:W3CDTF">2026-06-22T07:34:00Z</dcterms:modified>
</cp:coreProperties>
</file>