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9C6E" w14:textId="77777777" w:rsidR="00C26DCA" w:rsidRDefault="00C26DCA" w:rsidP="00C26DCA">
      <w:pPr>
        <w:pStyle w:val="Point0"/>
      </w:pPr>
      <w:r w:rsidRPr="000D4862">
        <w:rPr>
          <w:noProof/>
          <w:lang w:eastAsia="lt-LT"/>
        </w:rPr>
        <w:drawing>
          <wp:anchor distT="0" distB="0" distL="114300" distR="114300" simplePos="0" relativeHeight="251659264" behindDoc="1" locked="0" layoutInCell="1" allowOverlap="1" wp14:anchorId="7AD7C9F0" wp14:editId="5DBC7980">
            <wp:simplePos x="0" y="0"/>
            <wp:positionH relativeFrom="margin">
              <wp:posOffset>-318135</wp:posOffset>
            </wp:positionH>
            <wp:positionV relativeFrom="paragraph">
              <wp:posOffset>83185</wp:posOffset>
            </wp:positionV>
            <wp:extent cx="6842760" cy="8731450"/>
            <wp:effectExtent l="0" t="0" r="0" b="0"/>
            <wp:wrapNone/>
            <wp:docPr id="1" name="Picture 1" descr="A picture containing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  Description automatically generated"/>
                    <pic:cNvPicPr/>
                  </pic:nvPicPr>
                  <pic:blipFill rotWithShape="1">
                    <a:blip r:embed="rId8">
                      <a:extLst>
                        <a:ext uri="{28A0092B-C50C-407E-A947-70E740481C1C}">
                          <a14:useLocalDpi xmlns:a14="http://schemas.microsoft.com/office/drawing/2010/main" val="0"/>
                        </a:ext>
                      </a:extLst>
                    </a:blip>
                    <a:srcRect t="5767"/>
                    <a:stretch/>
                  </pic:blipFill>
                  <pic:spPr bwMode="auto">
                    <a:xfrm>
                      <a:off x="0" y="0"/>
                      <a:ext cx="6842760" cy="8731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FAC">
        <w:rPr>
          <w:noProof/>
          <w:lang w:eastAsia="lt-LT"/>
        </w:rPr>
        <w:t xml:space="preserve"> </w:t>
      </w:r>
    </w:p>
    <w:p w14:paraId="0C5BFFB5" w14:textId="77777777" w:rsidR="00C26DCA" w:rsidRPr="004D0F7E" w:rsidRDefault="00C26DCA" w:rsidP="00C26DCA"/>
    <w:p w14:paraId="406D6AC4" w14:textId="77777777" w:rsidR="00C26DCA" w:rsidRDefault="00C26DCA" w:rsidP="00C26DCA"/>
    <w:p w14:paraId="40A5BAE4" w14:textId="77777777" w:rsidR="00C26DCA" w:rsidRDefault="00C26DCA" w:rsidP="00C26DCA">
      <w:pPr>
        <w:tabs>
          <w:tab w:val="left" w:pos="6132"/>
        </w:tabs>
      </w:pPr>
      <w:r>
        <w:tab/>
      </w:r>
    </w:p>
    <w:p w14:paraId="30FFA6EE" w14:textId="17C7EDB2" w:rsidR="00C26DCA" w:rsidRPr="004D0F7E" w:rsidRDefault="008D1789" w:rsidP="00C26DCA">
      <w:pPr>
        <w:tabs>
          <w:tab w:val="left" w:pos="6132"/>
        </w:tabs>
        <w:sectPr w:rsidR="00C26DCA" w:rsidRPr="004D0F7E" w:rsidSect="004D0F7E">
          <w:headerReference w:type="default" r:id="rId9"/>
          <w:footnotePr>
            <w:numRestart w:val="eachPage"/>
          </w:footnotePr>
          <w:pgSz w:w="11907" w:h="16839"/>
          <w:pgMar w:top="1134" w:right="1134" w:bottom="1134" w:left="1134" w:header="567" w:footer="567" w:gutter="0"/>
          <w:cols w:space="720"/>
          <w:docGrid w:linePitch="360"/>
        </w:sectPr>
      </w:pPr>
      <w:r w:rsidRPr="000D4862">
        <w:rPr>
          <w:noProof/>
          <w:lang w:eastAsia="lt-LT"/>
        </w:rPr>
        <mc:AlternateContent>
          <mc:Choice Requires="wps">
            <w:drawing>
              <wp:anchor distT="0" distB="0" distL="114300" distR="114300" simplePos="0" relativeHeight="251661312" behindDoc="0" locked="0" layoutInCell="1" allowOverlap="1" wp14:anchorId="22467258" wp14:editId="30C2202E">
                <wp:simplePos x="0" y="0"/>
                <wp:positionH relativeFrom="margin">
                  <wp:posOffset>78105</wp:posOffset>
                </wp:positionH>
                <wp:positionV relativeFrom="paragraph">
                  <wp:posOffset>3238500</wp:posOffset>
                </wp:positionV>
                <wp:extent cx="6119495" cy="426720"/>
                <wp:effectExtent l="0" t="0" r="14605" b="11430"/>
                <wp:wrapSquare wrapText="bothSides"/>
                <wp:docPr id="5" name="Text Box 5"/>
                <wp:cNvGraphicFramePr/>
                <a:graphic xmlns:a="http://schemas.openxmlformats.org/drawingml/2006/main">
                  <a:graphicData uri="http://schemas.microsoft.com/office/word/2010/wordprocessingShape">
                    <wps:wsp>
                      <wps:cNvSpPr txBox="1"/>
                      <wps:spPr>
                        <a:xfrm>
                          <a:off x="0" y="0"/>
                          <a:ext cx="6119495" cy="4267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2CFFE0" w14:textId="0BBF9C92" w:rsidR="00C26DCA" w:rsidRPr="0039647C" w:rsidRDefault="00C26DCA" w:rsidP="00C26DCA">
                            <w:pPr>
                              <w:jc w:val="center"/>
                              <w:rPr>
                                <w:b/>
                                <w:color w:val="00B0F0"/>
                                <w:sz w:val="32"/>
                                <w:szCs w:val="32"/>
                              </w:rPr>
                            </w:pPr>
                            <w:r w:rsidRPr="005C47EA">
                              <w:rPr>
                                <w:b/>
                                <w:color w:val="08C1C9"/>
                                <w:sz w:val="32"/>
                                <w:szCs w:val="32"/>
                              </w:rPr>
                              <w:t>20</w:t>
                            </w:r>
                            <w:r>
                              <w:rPr>
                                <w:b/>
                                <w:color w:val="08C1C9"/>
                                <w:sz w:val="32"/>
                                <w:szCs w:val="32"/>
                              </w:rPr>
                              <w:t>2</w:t>
                            </w:r>
                            <w:r w:rsidR="00D968F2">
                              <w:rPr>
                                <w:b/>
                                <w:color w:val="08C1C9"/>
                                <w:sz w:val="32"/>
                                <w:szCs w:val="32"/>
                              </w:rPr>
                              <w:t>3</w:t>
                            </w:r>
                            <w:r w:rsidR="0039647C">
                              <w:rPr>
                                <w:b/>
                                <w:color w:val="08C1C9"/>
                                <w:sz w:val="32"/>
                                <w:szCs w:val="32"/>
                              </w:rPr>
                              <w:t>-</w:t>
                            </w:r>
                            <w:r w:rsidR="00E13B55">
                              <w:rPr>
                                <w:b/>
                                <w:color w:val="08C1C9"/>
                                <w:sz w:val="32"/>
                                <w:szCs w:val="32"/>
                              </w:rPr>
                              <w:t>05-</w:t>
                            </w:r>
                            <w:r w:rsidR="008A5BBF">
                              <w:rPr>
                                <w:b/>
                                <w:color w:val="08C1C9"/>
                                <w:sz w:val="32"/>
                                <w:szCs w:val="32"/>
                              </w:rPr>
                              <w:t>17</w:t>
                            </w:r>
                          </w:p>
                          <w:p w14:paraId="036112A4" w14:textId="77777777" w:rsidR="00C26DCA" w:rsidRPr="00412C74" w:rsidRDefault="00C26DCA" w:rsidP="00C26DCA">
                            <w:pPr>
                              <w:pStyle w:val="03"/>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67258" id="_x0000_t202" coordsize="21600,21600" o:spt="202" path="m,l,21600r21600,l21600,xe">
                <v:stroke joinstyle="miter"/>
                <v:path gradientshapeok="t" o:connecttype="rect"/>
              </v:shapetype>
              <v:shape id="Text Box 5" o:spid="_x0000_s1026" type="#_x0000_t202" style="position:absolute;margin-left:6.15pt;margin-top:255pt;width:481.85pt;height:3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" filled="f" stroked="f">
                <v:textbox inset="0,0,0,0">
                  <w:txbxContent>
                    <w:p w14:paraId="322CFFE0" w14:textId="0BBF9C92" w:rsidR="00C26DCA" w:rsidRPr="0039647C" w:rsidRDefault="00C26DCA" w:rsidP="00C26DCA">
                      <w:pPr>
                        <w:jc w:val="center"/>
                        <w:rPr>
                          <w:b/>
                          <w:color w:val="00B0F0"/>
                          <w:sz w:val="32"/>
                          <w:szCs w:val="32"/>
                        </w:rPr>
                      </w:pPr>
                      <w:r w:rsidRPr="005C47EA">
                        <w:rPr>
                          <w:b/>
                          <w:color w:val="08C1C9"/>
                          <w:sz w:val="32"/>
                          <w:szCs w:val="32"/>
                        </w:rPr>
                        <w:t>20</w:t>
                      </w:r>
                      <w:r>
                        <w:rPr>
                          <w:b/>
                          <w:color w:val="08C1C9"/>
                          <w:sz w:val="32"/>
                          <w:szCs w:val="32"/>
                        </w:rPr>
                        <w:t>2</w:t>
                      </w:r>
                      <w:r w:rsidR="00D968F2">
                        <w:rPr>
                          <w:b/>
                          <w:color w:val="08C1C9"/>
                          <w:sz w:val="32"/>
                          <w:szCs w:val="32"/>
                        </w:rPr>
                        <w:t>3</w:t>
                      </w:r>
                      <w:r w:rsidR="0039647C">
                        <w:rPr>
                          <w:b/>
                          <w:color w:val="08C1C9"/>
                          <w:sz w:val="32"/>
                          <w:szCs w:val="32"/>
                        </w:rPr>
                        <w:t>-</w:t>
                      </w:r>
                      <w:r w:rsidR="00E13B55">
                        <w:rPr>
                          <w:b/>
                          <w:color w:val="08C1C9"/>
                          <w:sz w:val="32"/>
                          <w:szCs w:val="32"/>
                        </w:rPr>
                        <w:t>05-</w:t>
                      </w:r>
                      <w:r w:rsidR="008A5BBF">
                        <w:rPr>
                          <w:b/>
                          <w:color w:val="08C1C9"/>
                          <w:sz w:val="32"/>
                          <w:szCs w:val="32"/>
                        </w:rPr>
                        <w:t>17</w:t>
                      </w:r>
                    </w:p>
                    <w:p w14:paraId="036112A4" w14:textId="77777777" w:rsidR="00C26DCA" w:rsidRPr="00412C74" w:rsidRDefault="00C26DCA" w:rsidP="00C26DCA">
                      <w:pPr>
                        <w:pStyle w:val="03"/>
                      </w:pPr>
                    </w:p>
                  </w:txbxContent>
                </v:textbox>
                <w10:wrap type="square" anchorx="margin"/>
              </v:shape>
            </w:pict>
          </mc:Fallback>
        </mc:AlternateContent>
      </w:r>
      <w:r w:rsidRPr="000D4862">
        <w:rPr>
          <w:noProof/>
          <w:lang w:eastAsia="lt-LT"/>
        </w:rPr>
        <mc:AlternateContent>
          <mc:Choice Requires="wps">
            <w:drawing>
              <wp:anchor distT="0" distB="0" distL="114300" distR="114300" simplePos="0" relativeHeight="251660288" behindDoc="0" locked="0" layoutInCell="1" allowOverlap="1" wp14:anchorId="7AAF020B" wp14:editId="5000300A">
                <wp:simplePos x="0" y="0"/>
                <wp:positionH relativeFrom="margin">
                  <wp:align>center</wp:align>
                </wp:positionH>
                <wp:positionV relativeFrom="paragraph">
                  <wp:posOffset>1165860</wp:posOffset>
                </wp:positionV>
                <wp:extent cx="6119495" cy="235712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6119495" cy="2357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A2B7D9" w14:textId="7501A9DD" w:rsidR="00241B09" w:rsidRPr="00412C74" w:rsidRDefault="00152746" w:rsidP="00241B09">
                            <w:pPr>
                              <w:pStyle w:val="08Pavadinimastitulis"/>
                            </w:pPr>
                            <w:bookmarkStart w:id="1" w:name="_Hlk520976689"/>
                            <w:bookmarkStart w:id="2" w:name="_Hlk520976690"/>
                            <w:bookmarkStart w:id="3" w:name="_Hlk520976691"/>
                            <w:bookmarkStart w:id="4" w:name="_Hlk520976692"/>
                            <w:bookmarkStart w:id="5" w:name="_Hlk520976693"/>
                            <w:bookmarkStart w:id="6" w:name="_Hlk520976694"/>
                            <w:bookmarkStart w:id="7" w:name="_Hlk520976695"/>
                            <w:bookmarkStart w:id="8" w:name="_Hlk520976696"/>
                            <w:bookmarkStart w:id="9" w:name="_Hlk520976697"/>
                            <w:bookmarkStart w:id="10" w:name="_Hlk520976698"/>
                            <w:bookmarkStart w:id="11" w:name="_Hlk520976699"/>
                            <w:bookmarkStart w:id="12" w:name="_Hlk520976700"/>
                            <w:bookmarkStart w:id="13" w:name="_Hlk520977069"/>
                            <w:bookmarkStart w:id="14" w:name="_Hlk520977070"/>
                            <w:r>
                              <w:rPr>
                                <w:bCs/>
                                <w:lang w:val="lt-LT"/>
                              </w:rPr>
                              <w:t xml:space="preserve">VIEŠŲJŲ </w:t>
                            </w:r>
                            <w:r w:rsidR="00241B09" w:rsidRPr="00AE25A2">
                              <w:rPr>
                                <w:bCs/>
                                <w:lang w:val="lt-LT"/>
                              </w:rPr>
                              <w:t xml:space="preserve">ELEKTROMOBILIŲ ĮKROVIMO </w:t>
                            </w:r>
                            <w:r w:rsidR="00241B09">
                              <w:rPr>
                                <w:bCs/>
                                <w:lang w:val="lt-LT"/>
                              </w:rPr>
                              <w:t>PRIEIGŲ</w:t>
                            </w:r>
                            <w:r w:rsidR="00241B09" w:rsidRPr="00AE25A2">
                              <w:rPr>
                                <w:bCs/>
                                <w:lang w:val="lt-LT"/>
                              </w:rPr>
                              <w:t xml:space="preserve"> ĮRENGIMO IŠLAIDŲ FIKSUOTŲJŲ</w:t>
                            </w:r>
                            <w:r w:rsidR="007E3B70">
                              <w:rPr>
                                <w:bCs/>
                                <w:lang w:val="lt-LT"/>
                              </w:rPr>
                              <w:t xml:space="preserve"> VIENETO</w:t>
                            </w:r>
                            <w:r w:rsidR="00241B09" w:rsidRPr="00AE25A2">
                              <w:rPr>
                                <w:bCs/>
                                <w:lang w:val="lt-LT"/>
                              </w:rPr>
                              <w:t xml:space="preserve"> ĮKAINIŲ NUSTATYMO </w:t>
                            </w:r>
                            <w:r w:rsidR="00241B09" w:rsidRPr="00E3411E">
                              <w:t>TYRIM</w:t>
                            </w:r>
                            <w:r w:rsidR="00241B09">
                              <w:t>AS</w:t>
                            </w:r>
                            <w:r w:rsidR="00241B09" w:rsidRPr="00E3411E">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p>
                          <w:p w14:paraId="7AB6B9F8" w14:textId="347CF3D3" w:rsidR="00C26DCA" w:rsidRPr="00412C74" w:rsidRDefault="00C26DCA" w:rsidP="00C26DCA">
                            <w:pPr>
                              <w:pStyle w:val="08Pavadinimastituli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F020B" id="Text Box 2" o:spid="_x0000_s1027" type="#_x0000_t202" style="position:absolute;margin-left:0;margin-top:91.8pt;width:481.85pt;height:185.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SArtZAIAADwFAAAOAAAAZHJzL2Uyb0RvYy54bWysVN1v2jAQf5+0/8Hy+xrCoB2ooWKtmCZV bTU69dk4donm+Dz7IGF/fc9OoIztpdNenMt93+8+Lq/a2rCt8qECW/D8bMCZshLKyj4X/Pvj4sMn zgIKWwoDVhV8pwK/mr1/d9m4qRrCGkypPCMnNkwbV/A1optmWZBrVYtwBk5ZEmrwtUD69c9Z6UVD 3muTDQeD86wBXzoPUoVA3JtOyGfJv9ZK4r3WQSEzBafcML0+vav4ZrNLMX32wq0r2ach/iGLWlSW gh5c3QgUbOOrP1zVlfQQQOOZhDoDrSupUg1UTT44qWa5Fk6lWgic4A4whf/nVt5tl+7BM2w/Q0sN jIA0LkwDMWM9rfZ1/FKmjOQE4e4Am2qRSWKe5/lkNBlzJkk2/Di+yIcJ2OzV3PmAXxTULBIF99SX BJfY3gakkKS6V4nRLCwqY1JvjP2NQYodR6Xm9tavGScKd0ZFK2O/Kc2qMiUeGWms1LXxbCtoIISU ymKqOfkl7ailKfZbDHv9aNpl9Rbjg0WKDBYPxnVlwSeUTtIuf+xT1p0+4XdUdySxXbVU+FFDV1Du qM8euhUITi4q6sWtCPggPM08tZb2GO/p0QaagkNPcbYG/+tv/KhPo0hSzhraoYKHnxvhFWfmq6Uh neSjUVy69DMaX9BYMH8sWR1L7Ka+BupKThfDyURGfTR7Unuon2jd5zEqiYSVFLvguCevsdtsOhdS zedJidbMCby1Syej64hynLTH9kl4148j0iTfwX7bxPRkKjvdaGlhvkHQVRrZiHOHao8/rWia5P6c xBtw/J+0Xo/e7AUAAP//AwBQSwMEFAAGAAgAAAAhAPJCs9beAAAACAEAAA8AAABkcnMvZG93bnJl di54bWxMj81OwzAQhO9IfQdrkbhRG9qENMSpEIgrqOVH4ubG2yRqvI5itwlv3+0JjrOzmvmmWE+u EyccQutJw91cgUCqvG2p1vD58XqbgQjRkDWdJ9TwiwHW5eyqMLn1I23wtI214BAKudHQxNjnUoaq QWfC3PdI7O394ExkOdTSDmbkcNfJe6VS6UxL3NCYHp8brA7bo9Pw9bb/+V6q9/rFJf3oJyXJraTW N9fT0yOIiFP8e4YLPqNDyUw7fyQbRKeBh0S+ZosUBNurdPEAYqchSZYZyLKQ/weUZwAAAP//AwBQ SwECLQAUAAYACAAAACEAtoM4kv4AAADhAQAAEwAAAAAAAAAAAAAAAAAAAAAAW0NvbnRlbnRfVHlw ZXNdLnhtbFBLAQItABQABgAIAAAAIQA4/SH/1gAAAJQBAAALAAAAAAAAAAAAAAAAAC8BAABfcmVs cy8ucmVsc1BLAQItABQABgAIAAAAIQDiSArtZAIAADwFAAAOAAAAAAAAAAAAAAAAAC4CAABkcnMv ZTJvRG9jLnhtbFBLAQItABQABgAIAAAAIQDyQrPW3gAAAAgBAAAPAAAAAAAAAAAAAAAAAL4EAABk cnMvZG93bnJldi54bWxQSwUGAAAAAAQABADzAAAAyQUAAAAA " filled="f" stroked="f">
                <v:textbox>
                  <w:txbxContent>
                    <w:p w14:paraId="38A2B7D9" w14:textId="7501A9DD" w:rsidR="00241B09" w:rsidRPr="00412C74" w:rsidRDefault="00152746" w:rsidP="00241B09">
                      <w:pPr>
                        <w:pStyle w:val="08Pavadinimastitulis"/>
                      </w:pPr>
                      <w:bookmarkStart w:id="15" w:name="_Hlk520976689"/>
                      <w:bookmarkStart w:id="16" w:name="_Hlk520976690"/>
                      <w:bookmarkStart w:id="17" w:name="_Hlk520976691"/>
                      <w:bookmarkStart w:id="18" w:name="_Hlk520976692"/>
                      <w:bookmarkStart w:id="19" w:name="_Hlk520976693"/>
                      <w:bookmarkStart w:id="20" w:name="_Hlk520976694"/>
                      <w:bookmarkStart w:id="21" w:name="_Hlk520976695"/>
                      <w:bookmarkStart w:id="22" w:name="_Hlk520976696"/>
                      <w:bookmarkStart w:id="23" w:name="_Hlk520976697"/>
                      <w:bookmarkStart w:id="24" w:name="_Hlk520976698"/>
                      <w:bookmarkStart w:id="25" w:name="_Hlk520976699"/>
                      <w:bookmarkStart w:id="26" w:name="_Hlk520976700"/>
                      <w:bookmarkStart w:id="27" w:name="_Hlk520977069"/>
                      <w:bookmarkStart w:id="28" w:name="_Hlk520977070"/>
                      <w:r>
                        <w:rPr>
                          <w:bCs/>
                          <w:lang w:val="lt-LT"/>
                        </w:rPr>
                        <w:t xml:space="preserve">VIEŠŲJŲ </w:t>
                      </w:r>
                      <w:r w:rsidR="00241B09" w:rsidRPr="00AE25A2">
                        <w:rPr>
                          <w:bCs/>
                          <w:lang w:val="lt-LT"/>
                        </w:rPr>
                        <w:t xml:space="preserve">ELEKTROMOBILIŲ ĮKROVIMO </w:t>
                      </w:r>
                      <w:r w:rsidR="00241B09">
                        <w:rPr>
                          <w:bCs/>
                          <w:lang w:val="lt-LT"/>
                        </w:rPr>
                        <w:t>PRIEIGŲ</w:t>
                      </w:r>
                      <w:r w:rsidR="00241B09" w:rsidRPr="00AE25A2">
                        <w:rPr>
                          <w:bCs/>
                          <w:lang w:val="lt-LT"/>
                        </w:rPr>
                        <w:t xml:space="preserve"> ĮRENGIMO IŠLAIDŲ FIKSUOTŲJŲ</w:t>
                      </w:r>
                      <w:r w:rsidR="007E3B70">
                        <w:rPr>
                          <w:bCs/>
                          <w:lang w:val="lt-LT"/>
                        </w:rPr>
                        <w:t xml:space="preserve"> VIENETO</w:t>
                      </w:r>
                      <w:r w:rsidR="00241B09" w:rsidRPr="00AE25A2">
                        <w:rPr>
                          <w:bCs/>
                          <w:lang w:val="lt-LT"/>
                        </w:rPr>
                        <w:t xml:space="preserve"> ĮKAINIŲ NUSTATYMO </w:t>
                      </w:r>
                      <w:r w:rsidR="00241B09" w:rsidRPr="00E3411E">
                        <w:t>TYRIM</w:t>
                      </w:r>
                      <w:r w:rsidR="00241B09">
                        <w:t>AS</w:t>
                      </w:r>
                      <w:r w:rsidR="00241B09" w:rsidRPr="00E3411E">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AB6B9F8" w14:textId="347CF3D3" w:rsidR="00C26DCA" w:rsidRPr="00412C74" w:rsidRDefault="00C26DCA" w:rsidP="00C26DCA">
                      <w:pPr>
                        <w:pStyle w:val="08Pavadinimastitulis"/>
                      </w:pPr>
                    </w:p>
                  </w:txbxContent>
                </v:textbox>
                <w10:wrap type="square" anchorx="margin"/>
              </v:shape>
            </w:pict>
          </mc:Fallback>
        </mc:AlternateContent>
      </w:r>
      <w:r w:rsidR="00C26DCA">
        <w:tab/>
      </w:r>
    </w:p>
    <w:p w14:paraId="5AB3B3BA" w14:textId="00DD4972" w:rsidR="00C26DCA" w:rsidRPr="00F01E6F" w:rsidRDefault="00C26DCA" w:rsidP="00C26DCA">
      <w:pPr>
        <w:pStyle w:val="Point0"/>
        <w:jc w:val="center"/>
      </w:pPr>
      <w:r w:rsidRPr="00764884">
        <w:rPr>
          <w:b/>
          <w:bCs/>
          <w:color w:val="242424"/>
          <w:sz w:val="28"/>
          <w:szCs w:val="28"/>
          <w:shd w:val="clear" w:color="auto" w:fill="FFFFFF"/>
        </w:rPr>
        <w:lastRenderedPageBreak/>
        <w:t xml:space="preserve">Supaprastintai apmokamų išlaidų dydžių nustatymo </w:t>
      </w:r>
      <w:r w:rsidR="0053119A" w:rsidRPr="00F01E6F">
        <w:rPr>
          <w:b/>
          <w:bCs/>
          <w:sz w:val="28"/>
          <w:szCs w:val="28"/>
          <w:shd w:val="clear" w:color="auto" w:fill="FFFFFF"/>
        </w:rPr>
        <w:t>aprašas</w:t>
      </w:r>
    </w:p>
    <w:p w14:paraId="5B951EA9" w14:textId="6C0FF100" w:rsidR="00B66AE1" w:rsidRPr="00F01E6F" w:rsidRDefault="00B66AE1" w:rsidP="000901A7">
      <w:pPr>
        <w:jc w:val="both"/>
        <w:rPr>
          <w:rFonts w:eastAsia="Times New Roman"/>
          <w:b/>
          <w:bCs/>
          <w:noProof/>
        </w:rPr>
      </w:pPr>
      <w:r w:rsidRPr="0053251C">
        <w:rPr>
          <w:rFonts w:eastAsia="Times New Roman"/>
          <w:b/>
          <w:bCs/>
          <w:noProof/>
        </w:rPr>
        <w:t xml:space="preserve">B. Duomenys pagal veiksmo rūšį </w:t>
      </w:r>
      <w:r w:rsidRPr="00F01E6F">
        <w:rPr>
          <w:rFonts w:eastAsia="Times New Roman"/>
          <w:b/>
          <w:bCs/>
          <w:noProof/>
        </w:rPr>
        <w:t>(pildoma kiekvienai veiksmo rūšiai</w:t>
      </w:r>
      <w:r w:rsidR="00221A14">
        <w:rPr>
          <w:rFonts w:eastAsia="Times New Roman"/>
          <w:b/>
          <w:bCs/>
          <w:noProof/>
        </w:rPr>
        <w:t>)</w:t>
      </w:r>
    </w:p>
    <w:p w14:paraId="02C63195" w14:textId="77777777" w:rsidR="00B66AE1" w:rsidRDefault="00B66AE1" w:rsidP="000901A7">
      <w:pPr>
        <w:jc w:val="both"/>
        <w:rPr>
          <w:rFonts w:eastAsia="Times New Roman"/>
          <w:noProof/>
        </w:rPr>
      </w:pPr>
      <w:r w:rsidRPr="7C5B0D1C">
        <w:rPr>
          <w:rFonts w:eastAsia="Times New Roman"/>
          <w:noProof/>
        </w:rPr>
        <w:t>Ar vadovaujančioji institucija gavo išorės bendrovės paramą toliau nurodytoms supaprastintai apmokamoms išlaidoms padengti?</w:t>
      </w:r>
    </w:p>
    <w:p w14:paraId="0868E218" w14:textId="77777777" w:rsidR="00B66AE1" w:rsidRPr="0053251C" w:rsidRDefault="00B66AE1" w:rsidP="00B66AE1">
      <w:pPr>
        <w:jc w:val="both"/>
        <w:rPr>
          <w:rFonts w:eastAsia="Times New Roman"/>
          <w:noProof/>
        </w:rPr>
      </w:pPr>
      <w:r w:rsidRPr="7C5B0D1C">
        <w:rPr>
          <w:rFonts w:eastAsia="Times New Roman"/>
          <w:noProof/>
        </w:rPr>
        <w:t>Jei taip, nurodyti tą išorės bendrovę:</w:t>
      </w:r>
      <w:r>
        <w:tab/>
      </w:r>
      <w:r w:rsidRPr="0053251C">
        <w:rPr>
          <w:rFonts w:eastAsia="Times New Roman"/>
          <w:noProof/>
        </w:rPr>
        <w:t xml:space="preserve">Taip / </w:t>
      </w:r>
      <w:r w:rsidRPr="00021D4E">
        <w:rPr>
          <w:rFonts w:eastAsia="Times New Roman"/>
          <w:b/>
          <w:bCs/>
          <w:noProof/>
          <w:u w:val="single"/>
        </w:rPr>
        <w:t>Ne</w:t>
      </w:r>
      <w:r w:rsidRPr="0053251C">
        <w:rPr>
          <w:rFonts w:eastAsia="Times New Roman"/>
          <w:noProof/>
        </w:rPr>
        <w:t xml:space="preserve"> – Išorės bendrovės pavadinimas</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6124"/>
      </w:tblGrid>
      <w:tr w:rsidR="003E2292" w:rsidRPr="00D62DD8" w14:paraId="231A982C" w14:textId="77777777" w:rsidTr="002B7493">
        <w:trPr>
          <w:trHeight w:val="851"/>
        </w:trPr>
        <w:tc>
          <w:tcPr>
            <w:tcW w:w="3417" w:type="dxa"/>
            <w:shd w:val="clear" w:color="auto" w:fill="auto"/>
            <w:vAlign w:val="center"/>
          </w:tcPr>
          <w:p w14:paraId="1E88BC03" w14:textId="77777777" w:rsidR="003E2292" w:rsidRPr="00D62DD8" w:rsidRDefault="003E2292" w:rsidP="00CA0D3A">
            <w:pPr>
              <w:spacing w:before="0" w:after="0" w:line="276" w:lineRule="auto"/>
            </w:pPr>
            <w:r>
              <w:t xml:space="preserve">1. </w:t>
            </w:r>
            <w:r w:rsidRPr="00377280">
              <w:t>Veiksmo rūšies</w:t>
            </w:r>
            <w:r>
              <w:t xml:space="preserve"> aprašymas, įskaitant įgyvendinimo tvarkaraštį</w:t>
            </w:r>
            <w:r w:rsidRPr="005404DF">
              <w:rPr>
                <w:rStyle w:val="FootnoteReference"/>
                <w:b w:val="0"/>
              </w:rPr>
              <w:footnoteReference w:id="1"/>
            </w:r>
          </w:p>
        </w:tc>
        <w:tc>
          <w:tcPr>
            <w:tcW w:w="6124" w:type="dxa"/>
            <w:vAlign w:val="center"/>
          </w:tcPr>
          <w:p w14:paraId="1191B52C" w14:textId="51AAEC01" w:rsidR="00B527E3" w:rsidRPr="00B527E3" w:rsidRDefault="00B527E3" w:rsidP="00B527E3">
            <w:pPr>
              <w:spacing w:before="60" w:after="60" w:line="240" w:lineRule="auto"/>
              <w:jc w:val="both"/>
              <w:rPr>
                <w:szCs w:val="24"/>
              </w:rPr>
            </w:pPr>
            <w:r w:rsidRPr="00B527E3">
              <w:rPr>
                <w:szCs w:val="24"/>
              </w:rPr>
              <w:t>Įgyvendinant Ekonomikos gaivinimo ir atsparumo didinimo plano „Naujos kartos Lietuva“</w:t>
            </w:r>
            <w:r w:rsidRPr="00B527E3">
              <w:rPr>
                <w:b/>
                <w:szCs w:val="24"/>
                <w:vertAlign w:val="superscript"/>
              </w:rPr>
              <w:footnoteReference w:id="2"/>
            </w:r>
            <w:r w:rsidRPr="00B527E3">
              <w:rPr>
                <w:szCs w:val="24"/>
              </w:rPr>
              <w:t>, „Žalioji pertvarka“ ramsčio B.2 komponento „Žalioji Lietuvos transformacija</w:t>
            </w:r>
            <w:r w:rsidRPr="00E13B55">
              <w:rPr>
                <w:szCs w:val="24"/>
              </w:rPr>
              <w:t>“</w:t>
            </w:r>
            <w:r w:rsidR="00416A94" w:rsidRPr="00E13B55">
              <w:t xml:space="preserve"> </w:t>
            </w:r>
            <w:r w:rsidR="00416A94" w:rsidRPr="00E13B55">
              <w:rPr>
                <w:szCs w:val="24"/>
              </w:rPr>
              <w:t>B.1.2.3.</w:t>
            </w:r>
            <w:r w:rsidRPr="00E13B55">
              <w:rPr>
                <w:szCs w:val="24"/>
              </w:rPr>
              <w:t xml:space="preserve"> </w:t>
            </w:r>
            <w:proofErr w:type="spellStart"/>
            <w:r w:rsidRPr="00B527E3">
              <w:rPr>
                <w:szCs w:val="24"/>
              </w:rPr>
              <w:t>papriemonę</w:t>
            </w:r>
            <w:proofErr w:type="spellEnd"/>
            <w:r w:rsidRPr="00B527E3">
              <w:rPr>
                <w:szCs w:val="24"/>
              </w:rPr>
              <w:t xml:space="preserve"> „</w:t>
            </w:r>
            <w:r w:rsidR="00366C40">
              <w:rPr>
                <w:szCs w:val="24"/>
              </w:rPr>
              <w:t>Transporto priemonių įkrovimo ir (ar) pildymo infrastruktūros sukūrimas</w:t>
            </w:r>
            <w:r w:rsidRPr="00B527E3">
              <w:rPr>
                <w:szCs w:val="24"/>
              </w:rPr>
              <w:t>“, kurios tikslas –</w:t>
            </w:r>
            <w:r w:rsidR="00366C40">
              <w:rPr>
                <w:szCs w:val="24"/>
              </w:rPr>
              <w:t xml:space="preserve"> sukurti optimalų viešųjų</w:t>
            </w:r>
            <w:r w:rsidR="008C343D">
              <w:rPr>
                <w:rStyle w:val="FootnoteReference"/>
              </w:rPr>
              <w:footnoteReference w:id="3"/>
            </w:r>
            <w:r w:rsidR="00366C40">
              <w:rPr>
                <w:szCs w:val="24"/>
              </w:rPr>
              <w:t>, pusiau viešųjų</w:t>
            </w:r>
            <w:r w:rsidR="00366C40">
              <w:rPr>
                <w:rStyle w:val="FootnoteReference"/>
                <w:szCs w:val="24"/>
              </w:rPr>
              <w:footnoteReference w:id="4"/>
            </w:r>
            <w:r w:rsidR="00366C40">
              <w:rPr>
                <w:szCs w:val="24"/>
              </w:rPr>
              <w:t xml:space="preserve"> ir privačių įkrovimo ir papildymo infrastruktūros elementų tinklą, sudarantį palankias prielaidas verslui ir gyventojams eksploatuoti netaršias transporto priemones</w:t>
            </w:r>
            <w:r w:rsidRPr="00B527E3">
              <w:rPr>
                <w:szCs w:val="24"/>
              </w:rPr>
              <w:t>, bus taikomi</w:t>
            </w:r>
            <w:r>
              <w:t xml:space="preserve"> </w:t>
            </w:r>
            <w:r w:rsidR="008C343D">
              <w:t xml:space="preserve">pusiau viešųjų ir </w:t>
            </w:r>
            <w:r w:rsidR="00147636">
              <w:t>vieš</w:t>
            </w:r>
            <w:r w:rsidR="00152746">
              <w:t>ųjų</w:t>
            </w:r>
            <w:r w:rsidR="00057D3B">
              <w:t xml:space="preserve"> (toliau – viešųjų)</w:t>
            </w:r>
            <w:r w:rsidR="008C343D">
              <w:t xml:space="preserve"> </w:t>
            </w:r>
            <w:r w:rsidRPr="00B527E3">
              <w:rPr>
                <w:szCs w:val="24"/>
              </w:rPr>
              <w:t xml:space="preserve">elektromobilių įkrovimo prieigų įrengimo išlaidų fiksuotieji vieneto įkainiai. Šie fiksuotieji vieneto įkainiai bus naudojami kompensuojant </w:t>
            </w:r>
            <w:r w:rsidR="00B93D5A">
              <w:rPr>
                <w:szCs w:val="24"/>
              </w:rPr>
              <w:t>elektromobilių įkrovimo stotelės su prieiga (-</w:t>
            </w:r>
            <w:proofErr w:type="spellStart"/>
            <w:r w:rsidR="00B93D5A">
              <w:rPr>
                <w:szCs w:val="24"/>
              </w:rPr>
              <w:t>omis</w:t>
            </w:r>
            <w:proofErr w:type="spellEnd"/>
            <w:r w:rsidR="00B93D5A">
              <w:rPr>
                <w:szCs w:val="24"/>
              </w:rPr>
              <w:t>) įsigijimo ir montavimo darbų išlaidas</w:t>
            </w:r>
            <w:r>
              <w:rPr>
                <w:szCs w:val="24"/>
              </w:rPr>
              <w:t>.</w:t>
            </w:r>
          </w:p>
          <w:p w14:paraId="172FE2C0" w14:textId="2A845FFE" w:rsidR="00366C40" w:rsidRPr="00057D3B" w:rsidRDefault="00B527E3" w:rsidP="00B527E3">
            <w:pPr>
              <w:spacing w:before="0" w:after="0" w:line="276" w:lineRule="auto"/>
              <w:jc w:val="both"/>
              <w:rPr>
                <w:szCs w:val="24"/>
              </w:rPr>
            </w:pPr>
            <w:r w:rsidRPr="00B527E3">
              <w:rPr>
                <w:szCs w:val="24"/>
              </w:rPr>
              <w:t>Numatoma investicijos veiksmų atrankos pradžia – 2023 m., pabaiga –2026 m.</w:t>
            </w:r>
          </w:p>
        </w:tc>
      </w:tr>
      <w:tr w:rsidR="003E2292" w:rsidRPr="00D62DD8" w14:paraId="3332191E" w14:textId="77777777" w:rsidTr="002B7493">
        <w:trPr>
          <w:trHeight w:val="851"/>
        </w:trPr>
        <w:tc>
          <w:tcPr>
            <w:tcW w:w="3417" w:type="dxa"/>
            <w:shd w:val="clear" w:color="auto" w:fill="auto"/>
            <w:vAlign w:val="center"/>
          </w:tcPr>
          <w:p w14:paraId="4E4CA135" w14:textId="77777777" w:rsidR="003E2292" w:rsidRPr="00D62DD8" w:rsidRDefault="003E2292" w:rsidP="00CA0D3A">
            <w:pPr>
              <w:spacing w:before="0" w:after="0" w:line="276" w:lineRule="auto"/>
            </w:pPr>
            <w:r>
              <w:t>2. Konkretus (-</w:t>
            </w:r>
            <w:proofErr w:type="spellStart"/>
            <w:r>
              <w:t>ūs</w:t>
            </w:r>
            <w:proofErr w:type="spellEnd"/>
            <w:r>
              <w:t xml:space="preserve">) tikslas (-ai) </w:t>
            </w:r>
          </w:p>
        </w:tc>
        <w:tc>
          <w:tcPr>
            <w:tcW w:w="6124" w:type="dxa"/>
            <w:vAlign w:val="center"/>
          </w:tcPr>
          <w:p w14:paraId="6CD14432" w14:textId="6B2CAD93" w:rsidR="008B702B" w:rsidRPr="00E13B55" w:rsidRDefault="00B527E3" w:rsidP="00CA0D3A">
            <w:pPr>
              <w:spacing w:before="0" w:after="0" w:line="276" w:lineRule="auto"/>
              <w:jc w:val="both"/>
              <w:rPr>
                <w:bCs/>
                <w:szCs w:val="24"/>
              </w:rPr>
            </w:pPr>
            <w:r w:rsidRPr="00E13B55">
              <w:rPr>
                <w:bCs/>
                <w:szCs w:val="24"/>
              </w:rPr>
              <w:t>Plano „Naujos kartos Lietuva“</w:t>
            </w:r>
            <w:r w:rsidR="00635B5E" w:rsidRPr="00E13B55">
              <w:rPr>
                <w:bCs/>
                <w:szCs w:val="24"/>
              </w:rPr>
              <w:t xml:space="preserve"> </w:t>
            </w:r>
            <w:r w:rsidR="00E35C40" w:rsidRPr="00E13B55">
              <w:rPr>
                <w:bCs/>
                <w:szCs w:val="24"/>
              </w:rPr>
              <w:t>B.1.2</w:t>
            </w:r>
            <w:r w:rsidR="00362092" w:rsidRPr="00E13B55">
              <w:rPr>
                <w:bCs/>
                <w:szCs w:val="24"/>
              </w:rPr>
              <w:t>.</w:t>
            </w:r>
            <w:r w:rsidR="00E35C40" w:rsidRPr="00E13B55">
              <w:rPr>
                <w:bCs/>
                <w:szCs w:val="24"/>
              </w:rPr>
              <w:t xml:space="preserve"> </w:t>
            </w:r>
            <w:r w:rsidR="00635B5E" w:rsidRPr="00E13B55">
              <w:rPr>
                <w:bCs/>
                <w:szCs w:val="24"/>
              </w:rPr>
              <w:t>2</w:t>
            </w:r>
            <w:r w:rsidRPr="00E13B55">
              <w:rPr>
                <w:bCs/>
                <w:szCs w:val="24"/>
              </w:rPr>
              <w:t xml:space="preserve"> reforma „Judame neteršdami aplinkos“.</w:t>
            </w:r>
          </w:p>
        </w:tc>
      </w:tr>
      <w:tr w:rsidR="003E2292" w:rsidRPr="00D62DD8" w14:paraId="7E12E6E2" w14:textId="77777777" w:rsidTr="002B7493">
        <w:trPr>
          <w:trHeight w:val="851"/>
        </w:trPr>
        <w:tc>
          <w:tcPr>
            <w:tcW w:w="3417" w:type="dxa"/>
            <w:shd w:val="clear" w:color="auto" w:fill="auto"/>
            <w:vAlign w:val="center"/>
          </w:tcPr>
          <w:p w14:paraId="23FA5D8E" w14:textId="77777777" w:rsidR="003E2292" w:rsidRPr="00D62DD8" w:rsidRDefault="003E2292" w:rsidP="00CA0D3A">
            <w:pPr>
              <w:spacing w:before="0" w:after="0" w:line="276" w:lineRule="auto"/>
            </w:pPr>
            <w:r>
              <w:t>3. Rodiklis, kurį pasiekus išlaidos yra atlyginamos</w:t>
            </w:r>
            <w:r w:rsidRPr="005404DF">
              <w:rPr>
                <w:rStyle w:val="FootnoteReference"/>
                <w:b w:val="0"/>
              </w:rPr>
              <w:footnoteReference w:id="5"/>
            </w:r>
          </w:p>
        </w:tc>
        <w:tc>
          <w:tcPr>
            <w:tcW w:w="6124" w:type="dxa"/>
            <w:vAlign w:val="center"/>
          </w:tcPr>
          <w:p w14:paraId="56E3D944" w14:textId="6DBA0F8F" w:rsidR="003E2292" w:rsidRPr="00E13B55" w:rsidRDefault="00147636" w:rsidP="00CA0D3A">
            <w:pPr>
              <w:spacing w:before="0" w:after="0" w:line="276" w:lineRule="auto"/>
              <w:jc w:val="both"/>
            </w:pPr>
            <w:r w:rsidRPr="00E13B55">
              <w:t xml:space="preserve">Įrengta </w:t>
            </w:r>
            <w:r w:rsidR="00152746" w:rsidRPr="00E13B55">
              <w:t>viešoji</w:t>
            </w:r>
            <w:r w:rsidRPr="00E13B55">
              <w:t xml:space="preserve"> elektromobilių įkrovimo </w:t>
            </w:r>
            <w:r w:rsidR="00E9376D" w:rsidRPr="00E13B55">
              <w:t>stotelė</w:t>
            </w:r>
            <w:r w:rsidR="00635B5E" w:rsidRPr="00E13B55">
              <w:rPr>
                <w:rStyle w:val="FootnoteReference"/>
              </w:rPr>
              <w:footnoteReference w:id="6"/>
            </w:r>
            <w:r w:rsidR="00E9376D" w:rsidRPr="00E13B55">
              <w:t xml:space="preserve"> su </w:t>
            </w:r>
            <w:r w:rsidRPr="00E13B55">
              <w:t>prieiga</w:t>
            </w:r>
            <w:r w:rsidR="00E9376D" w:rsidRPr="00E13B55">
              <w:t xml:space="preserve"> (-</w:t>
            </w:r>
            <w:proofErr w:type="spellStart"/>
            <w:r w:rsidR="00E9376D" w:rsidRPr="00E13B55">
              <w:t>omis</w:t>
            </w:r>
            <w:proofErr w:type="spellEnd"/>
            <w:r w:rsidR="00E9376D" w:rsidRPr="00E13B55">
              <w:t>)</w:t>
            </w:r>
          </w:p>
        </w:tc>
      </w:tr>
      <w:tr w:rsidR="003E2292" w:rsidRPr="00D62DD8" w14:paraId="11F7E530" w14:textId="77777777" w:rsidTr="002B7493">
        <w:trPr>
          <w:trHeight w:val="552"/>
        </w:trPr>
        <w:tc>
          <w:tcPr>
            <w:tcW w:w="3417" w:type="dxa"/>
            <w:shd w:val="clear" w:color="auto" w:fill="auto"/>
            <w:vAlign w:val="center"/>
          </w:tcPr>
          <w:p w14:paraId="36305C7F" w14:textId="77777777" w:rsidR="003E2292" w:rsidRPr="00D62DD8" w:rsidRDefault="003E2292" w:rsidP="00CA0D3A">
            <w:pPr>
              <w:spacing w:before="0" w:after="0" w:line="276" w:lineRule="auto"/>
            </w:pPr>
            <w:r>
              <w:t>4. Rodiklio, kurį pasiekus išlaidos yra atlyginamos, matavimo vienetas</w:t>
            </w:r>
          </w:p>
        </w:tc>
        <w:tc>
          <w:tcPr>
            <w:tcW w:w="6124" w:type="dxa"/>
            <w:vAlign w:val="center"/>
          </w:tcPr>
          <w:p w14:paraId="7859394B" w14:textId="3DDD0DB2" w:rsidR="003E2292" w:rsidRPr="005C43CA" w:rsidRDefault="00147636" w:rsidP="00CA0D3A">
            <w:pPr>
              <w:spacing w:before="0" w:after="0" w:line="276" w:lineRule="auto"/>
              <w:jc w:val="both"/>
              <w:rPr>
                <w:rFonts w:eastAsia="Times New Roman"/>
                <w:szCs w:val="24"/>
                <w:lang w:eastAsia="lt-LT"/>
              </w:rPr>
            </w:pPr>
            <w:r>
              <w:t>Vienetai</w:t>
            </w:r>
          </w:p>
        </w:tc>
      </w:tr>
      <w:tr w:rsidR="003E2292" w:rsidRPr="00D62DD8" w14:paraId="33012FE4" w14:textId="77777777" w:rsidTr="002B7493">
        <w:trPr>
          <w:trHeight w:val="844"/>
        </w:trPr>
        <w:tc>
          <w:tcPr>
            <w:tcW w:w="3417" w:type="dxa"/>
            <w:shd w:val="clear" w:color="auto" w:fill="auto"/>
            <w:vAlign w:val="center"/>
          </w:tcPr>
          <w:p w14:paraId="6E202E7D" w14:textId="77777777" w:rsidR="003E2292" w:rsidRPr="00D62DD8" w:rsidRDefault="003E2292" w:rsidP="00CA0D3A">
            <w:pPr>
              <w:spacing w:before="0" w:after="0" w:line="276" w:lineRule="auto"/>
            </w:pPr>
            <w:r>
              <w:t>5. Fiksuotasis vieneto įkainis, fiksuotoji suma arba fiksuotoji norma</w:t>
            </w:r>
          </w:p>
        </w:tc>
        <w:tc>
          <w:tcPr>
            <w:tcW w:w="6124" w:type="dxa"/>
            <w:vAlign w:val="center"/>
          </w:tcPr>
          <w:p w14:paraId="63A45942" w14:textId="1A2CD202" w:rsidR="003E2292" w:rsidRPr="00D62DD8" w:rsidRDefault="003359C8" w:rsidP="00CA0D3A">
            <w:pPr>
              <w:spacing w:before="0" w:after="0" w:line="276" w:lineRule="auto"/>
              <w:jc w:val="both"/>
            </w:pPr>
            <w:r>
              <w:rPr>
                <w:noProof/>
              </w:rPr>
              <w:t>Fiksuo</w:t>
            </w:r>
            <w:r w:rsidR="00232AE4">
              <w:rPr>
                <w:noProof/>
              </w:rPr>
              <w:t>t</w:t>
            </w:r>
            <w:r w:rsidR="00475CB7">
              <w:rPr>
                <w:noProof/>
              </w:rPr>
              <w:t>asis</w:t>
            </w:r>
            <w:r w:rsidR="00232AE4">
              <w:rPr>
                <w:noProof/>
              </w:rPr>
              <w:t xml:space="preserve"> vieneto įkaini</w:t>
            </w:r>
            <w:r w:rsidR="00475CB7">
              <w:rPr>
                <w:noProof/>
              </w:rPr>
              <w:t>s</w:t>
            </w:r>
          </w:p>
        </w:tc>
      </w:tr>
      <w:tr w:rsidR="003E2292" w:rsidRPr="00D62DD8" w14:paraId="18DFEF00" w14:textId="77777777" w:rsidTr="002B7493">
        <w:trPr>
          <w:trHeight w:val="1579"/>
        </w:trPr>
        <w:tc>
          <w:tcPr>
            <w:tcW w:w="3417" w:type="dxa"/>
            <w:shd w:val="clear" w:color="auto" w:fill="auto"/>
            <w:vAlign w:val="center"/>
          </w:tcPr>
          <w:p w14:paraId="4F96FB6B" w14:textId="77777777" w:rsidR="003E2292" w:rsidRPr="00D62DD8" w:rsidRDefault="003E2292" w:rsidP="00CA0D3A">
            <w:pPr>
              <w:spacing w:before="0" w:after="0" w:line="276" w:lineRule="auto"/>
            </w:pPr>
            <w:r>
              <w:lastRenderedPageBreak/>
              <w:t>6. Supaprastinto išlaidų apmokėjimo suma už matavimo vienetą arba procentinis dydis (fiksuotųjų normų atveju)</w:t>
            </w:r>
          </w:p>
        </w:tc>
        <w:tc>
          <w:tcPr>
            <w:tcW w:w="6124" w:type="dxa"/>
            <w:vAlign w:val="center"/>
          </w:tcPr>
          <w:p w14:paraId="4BF5A35A" w14:textId="742BC23D" w:rsidR="00ED49D9" w:rsidRPr="00E13B55" w:rsidRDefault="00241B09" w:rsidP="007E0507">
            <w:pPr>
              <w:spacing w:line="240" w:lineRule="auto"/>
              <w:jc w:val="both"/>
              <w:rPr>
                <w:highlight w:val="yellow"/>
              </w:rPr>
            </w:pPr>
            <w:r w:rsidRPr="00E13B55">
              <w:t>Nustatyti fiksuotieji vieneto įkainiai, atsižvelgiant į elektromobilių įkrovimo</w:t>
            </w:r>
            <w:r w:rsidR="007E0507" w:rsidRPr="00E13B55">
              <w:t xml:space="preserve"> </w:t>
            </w:r>
            <w:r w:rsidR="007C6794" w:rsidRPr="00E13B55">
              <w:t>prieigų skaičių</w:t>
            </w:r>
            <w:r w:rsidR="00635B5E" w:rsidRPr="00E13B55">
              <w:t xml:space="preserve"> ir prieigų galią</w:t>
            </w:r>
            <w:r w:rsidRPr="00E13B55">
              <w:t>:</w:t>
            </w:r>
          </w:p>
          <w:p w14:paraId="79D2705A" w14:textId="5C0539FF" w:rsidR="00B43CFD" w:rsidRPr="00E13B55" w:rsidRDefault="00D655E9" w:rsidP="00CA0D3A">
            <w:pPr>
              <w:spacing w:before="0" w:after="0" w:line="276" w:lineRule="auto"/>
              <w:jc w:val="both"/>
              <w:rPr>
                <w:b/>
                <w:bCs/>
                <w:szCs w:val="24"/>
              </w:rPr>
            </w:pPr>
            <w:r w:rsidRPr="00E13B55">
              <w:rPr>
                <w:b/>
                <w:bCs/>
                <w:szCs w:val="24"/>
              </w:rPr>
              <w:t>F</w:t>
            </w:r>
            <w:r w:rsidR="00232AE4" w:rsidRPr="00E13B55">
              <w:rPr>
                <w:b/>
                <w:bCs/>
                <w:szCs w:val="24"/>
              </w:rPr>
              <w:t>Į</w:t>
            </w:r>
            <w:r w:rsidR="007E0507" w:rsidRPr="00E13B55">
              <w:rPr>
                <w:b/>
                <w:bCs/>
                <w:szCs w:val="24"/>
                <w:vertAlign w:val="subscript"/>
              </w:rPr>
              <w:t>1</w:t>
            </w:r>
            <w:r w:rsidRPr="00E13B55">
              <w:rPr>
                <w:b/>
                <w:bCs/>
                <w:szCs w:val="24"/>
                <w:vertAlign w:val="subscript"/>
              </w:rPr>
              <w:t>(be PVM)</w:t>
            </w:r>
            <w:r w:rsidRPr="00E13B55">
              <w:rPr>
                <w:b/>
                <w:bCs/>
                <w:szCs w:val="24"/>
              </w:rPr>
              <w:t>:</w:t>
            </w:r>
            <w:r w:rsidR="005C213B" w:rsidRPr="00E13B55">
              <w:rPr>
                <w:b/>
                <w:bCs/>
                <w:szCs w:val="24"/>
              </w:rPr>
              <w:t xml:space="preserve"> </w:t>
            </w:r>
            <w:r w:rsidR="009D16D8" w:rsidRPr="00E13B55">
              <w:rPr>
                <w:b/>
                <w:bCs/>
                <w:szCs w:val="24"/>
              </w:rPr>
              <w:t>155</w:t>
            </w:r>
            <w:r w:rsidR="00BF7CC1" w:rsidRPr="00E13B55">
              <w:rPr>
                <w:b/>
                <w:bCs/>
                <w:szCs w:val="24"/>
              </w:rPr>
              <w:t>8</w:t>
            </w:r>
            <w:r w:rsidR="009D16D8" w:rsidRPr="00E13B55">
              <w:rPr>
                <w:b/>
                <w:bCs/>
                <w:szCs w:val="24"/>
              </w:rPr>
              <w:t>,</w:t>
            </w:r>
            <w:r w:rsidR="00BF7CC1" w:rsidRPr="00E13B55">
              <w:rPr>
                <w:b/>
                <w:bCs/>
                <w:szCs w:val="24"/>
              </w:rPr>
              <w:t>07</w:t>
            </w:r>
            <w:r w:rsidR="007E0507" w:rsidRPr="00E13B55">
              <w:rPr>
                <w:b/>
                <w:bCs/>
                <w:szCs w:val="24"/>
              </w:rPr>
              <w:t xml:space="preserve"> </w:t>
            </w:r>
            <w:r w:rsidRPr="00E13B55">
              <w:rPr>
                <w:b/>
                <w:bCs/>
                <w:szCs w:val="24"/>
              </w:rPr>
              <w:t>Eur</w:t>
            </w:r>
            <w:r w:rsidR="007E0507" w:rsidRPr="00E13B55">
              <w:rPr>
                <w:b/>
                <w:bCs/>
                <w:szCs w:val="24"/>
              </w:rPr>
              <w:t xml:space="preserve">. </w:t>
            </w:r>
            <w:r w:rsidR="00147636" w:rsidRPr="00E13B55">
              <w:rPr>
                <w:szCs w:val="24"/>
              </w:rPr>
              <w:t xml:space="preserve">Elektromobilių įkrovimo stotelių, kurių elektromobilių įkrovimo prieigos perduodama elektrinė galia yra </w:t>
            </w:r>
            <w:r w:rsidR="00E9376D" w:rsidRPr="00E13B55">
              <w:rPr>
                <w:szCs w:val="24"/>
              </w:rPr>
              <w:t>ne mažesnė</w:t>
            </w:r>
            <w:r w:rsidR="00147636" w:rsidRPr="00E13B55">
              <w:rPr>
                <w:szCs w:val="24"/>
              </w:rPr>
              <w:t xml:space="preserve"> kaip 11 kW, bet ne didesnė </w:t>
            </w:r>
            <w:r w:rsidR="00E9376D" w:rsidRPr="00E13B55">
              <w:rPr>
                <w:szCs w:val="24"/>
              </w:rPr>
              <w:t xml:space="preserve">arba lygi </w:t>
            </w:r>
            <w:r w:rsidR="00147636" w:rsidRPr="00E13B55">
              <w:rPr>
                <w:szCs w:val="24"/>
              </w:rPr>
              <w:t>22 kW, įsigijimo ir montavimo darbų išlaidų fiksuotasis vieneto įkainis, kai prieigų skaičius lygus 1, be PVM.</w:t>
            </w:r>
          </w:p>
          <w:p w14:paraId="048A645B" w14:textId="7B25C58F" w:rsidR="00B24508" w:rsidRPr="00E13B55" w:rsidRDefault="00D655E9" w:rsidP="00CA0D3A">
            <w:pPr>
              <w:spacing w:before="0" w:after="0" w:line="276" w:lineRule="auto"/>
              <w:jc w:val="both"/>
              <w:rPr>
                <w:szCs w:val="24"/>
              </w:rPr>
            </w:pPr>
            <w:r w:rsidRPr="00E13B55">
              <w:rPr>
                <w:b/>
                <w:bCs/>
                <w:szCs w:val="24"/>
              </w:rPr>
              <w:t>F</w:t>
            </w:r>
            <w:r w:rsidR="00232AE4" w:rsidRPr="00E13B55">
              <w:rPr>
                <w:b/>
                <w:bCs/>
                <w:szCs w:val="24"/>
              </w:rPr>
              <w:t>Į</w:t>
            </w:r>
            <w:r w:rsidR="007E0507" w:rsidRPr="00E13B55">
              <w:rPr>
                <w:b/>
                <w:bCs/>
                <w:szCs w:val="24"/>
                <w:vertAlign w:val="subscript"/>
              </w:rPr>
              <w:t>1</w:t>
            </w:r>
            <w:r w:rsidRPr="00E13B55">
              <w:rPr>
                <w:b/>
                <w:bCs/>
                <w:szCs w:val="24"/>
                <w:vertAlign w:val="subscript"/>
              </w:rPr>
              <w:t>(su PVM)</w:t>
            </w:r>
            <w:r w:rsidRPr="00E13B55">
              <w:rPr>
                <w:b/>
                <w:bCs/>
                <w:szCs w:val="24"/>
              </w:rPr>
              <w:t>:</w:t>
            </w:r>
            <w:r w:rsidR="005C213B" w:rsidRPr="00E13B55">
              <w:rPr>
                <w:b/>
                <w:bCs/>
                <w:szCs w:val="24"/>
              </w:rPr>
              <w:t xml:space="preserve"> </w:t>
            </w:r>
            <w:r w:rsidR="009D16D8" w:rsidRPr="00E13B55">
              <w:rPr>
                <w:b/>
                <w:bCs/>
                <w:szCs w:val="24"/>
              </w:rPr>
              <w:t>188</w:t>
            </w:r>
            <w:r w:rsidR="00BF7CC1" w:rsidRPr="00E13B55">
              <w:rPr>
                <w:b/>
                <w:bCs/>
                <w:szCs w:val="24"/>
              </w:rPr>
              <w:t>5</w:t>
            </w:r>
            <w:r w:rsidR="009D16D8" w:rsidRPr="00E13B55">
              <w:rPr>
                <w:b/>
                <w:bCs/>
                <w:szCs w:val="24"/>
              </w:rPr>
              <w:t>,</w:t>
            </w:r>
            <w:r w:rsidR="00BF7CC1" w:rsidRPr="00E13B55">
              <w:rPr>
                <w:b/>
                <w:bCs/>
                <w:szCs w:val="24"/>
              </w:rPr>
              <w:t>26</w:t>
            </w:r>
            <w:r w:rsidR="007E0507" w:rsidRPr="00E13B55">
              <w:rPr>
                <w:b/>
                <w:bCs/>
                <w:szCs w:val="24"/>
              </w:rPr>
              <w:t xml:space="preserve"> </w:t>
            </w:r>
            <w:r w:rsidRPr="00E13B55">
              <w:rPr>
                <w:b/>
                <w:bCs/>
                <w:szCs w:val="24"/>
              </w:rPr>
              <w:t>Eur</w:t>
            </w:r>
            <w:r w:rsidR="00CA0D3A" w:rsidRPr="00E13B55">
              <w:rPr>
                <w:b/>
                <w:bCs/>
                <w:szCs w:val="24"/>
              </w:rPr>
              <w:t>.</w:t>
            </w:r>
            <w:r w:rsidR="00147636" w:rsidRPr="00E13B55">
              <w:rPr>
                <w:b/>
                <w:bCs/>
                <w:szCs w:val="24"/>
              </w:rPr>
              <w:t xml:space="preserve"> </w:t>
            </w:r>
            <w:r w:rsidR="00147636" w:rsidRPr="00E13B55">
              <w:rPr>
                <w:szCs w:val="24"/>
              </w:rPr>
              <w:t xml:space="preserve">Elektromobilių įkrovimo stotelių, kurių elektromobilių įkrovimo prieigos perduodama elektrinė galia yra </w:t>
            </w:r>
            <w:r w:rsidR="00E9376D" w:rsidRPr="00E13B55">
              <w:rPr>
                <w:szCs w:val="24"/>
              </w:rPr>
              <w:t>ne mažesnė kaip</w:t>
            </w:r>
            <w:r w:rsidR="00147636" w:rsidRPr="00E13B55">
              <w:rPr>
                <w:szCs w:val="24"/>
              </w:rPr>
              <w:t xml:space="preserve"> 11 kW, bet ne didesnė </w:t>
            </w:r>
            <w:r w:rsidR="00E9376D" w:rsidRPr="00E13B55">
              <w:rPr>
                <w:szCs w:val="24"/>
              </w:rPr>
              <w:t xml:space="preserve">arba lygi </w:t>
            </w:r>
            <w:r w:rsidR="00147636" w:rsidRPr="00E13B55">
              <w:rPr>
                <w:szCs w:val="24"/>
              </w:rPr>
              <w:t xml:space="preserve">22 kW, įsigijimo ir montavimo darbų išlaidų fiksuotasis vieneto įkainis, kai prieigų skaičius lygus 1, su PVM. </w:t>
            </w:r>
          </w:p>
          <w:p w14:paraId="7ABA782E" w14:textId="0F094D68"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2(be PVM)</w:t>
            </w:r>
            <w:r w:rsidRPr="00E13B55">
              <w:rPr>
                <w:b/>
                <w:bCs/>
                <w:szCs w:val="24"/>
              </w:rPr>
              <w:t xml:space="preserve">: </w:t>
            </w:r>
            <w:r w:rsidR="009D16D8" w:rsidRPr="00E13B55">
              <w:rPr>
                <w:b/>
                <w:bCs/>
                <w:szCs w:val="24"/>
              </w:rPr>
              <w:t>441</w:t>
            </w:r>
            <w:r w:rsidR="00BF7CC1" w:rsidRPr="00E13B55">
              <w:rPr>
                <w:b/>
                <w:bCs/>
                <w:szCs w:val="24"/>
              </w:rPr>
              <w:t>2</w:t>
            </w:r>
            <w:r w:rsidR="009D16D8" w:rsidRPr="00E13B55">
              <w:rPr>
                <w:b/>
                <w:bCs/>
                <w:szCs w:val="24"/>
              </w:rPr>
              <w:t>,</w:t>
            </w:r>
            <w:r w:rsidR="00BF7CC1" w:rsidRPr="00E13B55">
              <w:rPr>
                <w:b/>
                <w:bCs/>
                <w:szCs w:val="24"/>
              </w:rPr>
              <w:t>99</w:t>
            </w:r>
            <w:r w:rsidRPr="00E13B55">
              <w:rPr>
                <w:b/>
                <w:bCs/>
                <w:szCs w:val="24"/>
              </w:rPr>
              <w:t xml:space="preserve"> Eur. </w:t>
            </w:r>
            <w:r w:rsidR="00147636" w:rsidRPr="00E13B55">
              <w:rPr>
                <w:szCs w:val="24"/>
              </w:rPr>
              <w:t xml:space="preserve">Elektromobilių įkrovimo stotelių, kurių elektromobilių įkrovimo prieigos perduodama elektrinė galia yra </w:t>
            </w:r>
            <w:r w:rsidR="00E9376D" w:rsidRPr="00E13B55">
              <w:rPr>
                <w:szCs w:val="24"/>
              </w:rPr>
              <w:t xml:space="preserve">ne mažesnė </w:t>
            </w:r>
            <w:r w:rsidR="00147636" w:rsidRPr="00E13B55">
              <w:rPr>
                <w:szCs w:val="24"/>
              </w:rPr>
              <w:t xml:space="preserve">kaip 11 kW, bet ne didesnė </w:t>
            </w:r>
            <w:r w:rsidR="00E9376D" w:rsidRPr="00E13B55">
              <w:rPr>
                <w:szCs w:val="24"/>
              </w:rPr>
              <w:t>arba lygi</w:t>
            </w:r>
            <w:r w:rsidR="00147636" w:rsidRPr="00E13B55">
              <w:rPr>
                <w:szCs w:val="24"/>
              </w:rPr>
              <w:t xml:space="preserve"> 22 kW, įsigijimo ir montavimo darbų išlaidų fiksuotasis vieneto įkainis, kai prieigų skaičius lygus 2, be PVM.</w:t>
            </w:r>
          </w:p>
          <w:p w14:paraId="31FAC657" w14:textId="4C659F40"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2(su PVM)</w:t>
            </w:r>
            <w:r w:rsidRPr="00E13B55">
              <w:rPr>
                <w:b/>
                <w:bCs/>
                <w:szCs w:val="24"/>
              </w:rPr>
              <w:t xml:space="preserve">: </w:t>
            </w:r>
            <w:r w:rsidR="009D16D8" w:rsidRPr="00E13B55">
              <w:rPr>
                <w:b/>
                <w:bCs/>
                <w:szCs w:val="24"/>
              </w:rPr>
              <w:t>53</w:t>
            </w:r>
            <w:r w:rsidR="00BF7CC1" w:rsidRPr="00E13B55">
              <w:rPr>
                <w:b/>
                <w:bCs/>
                <w:szCs w:val="24"/>
              </w:rPr>
              <w:t>39</w:t>
            </w:r>
            <w:r w:rsidR="009D16D8" w:rsidRPr="00E13B55">
              <w:rPr>
                <w:b/>
                <w:bCs/>
                <w:szCs w:val="24"/>
              </w:rPr>
              <w:t>,</w:t>
            </w:r>
            <w:r w:rsidR="00BF7CC1" w:rsidRPr="00E13B55">
              <w:rPr>
                <w:b/>
                <w:bCs/>
                <w:szCs w:val="24"/>
              </w:rPr>
              <w:t>71</w:t>
            </w:r>
            <w:r w:rsidRPr="00E13B55">
              <w:rPr>
                <w:b/>
                <w:bCs/>
                <w:szCs w:val="24"/>
              </w:rPr>
              <w:t xml:space="preserve"> Eur.</w:t>
            </w:r>
            <w:r w:rsidR="00147636" w:rsidRPr="00E13B55">
              <w:t xml:space="preserve"> </w:t>
            </w:r>
            <w:r w:rsidR="00147636" w:rsidRPr="00E13B55">
              <w:rPr>
                <w:szCs w:val="24"/>
              </w:rPr>
              <w:t xml:space="preserve">Elektromobilių įkrovimo stotelių, kurių elektromobilių įkrovimo prieigos perduodama elektrinė galia yra </w:t>
            </w:r>
            <w:r w:rsidR="00E9376D" w:rsidRPr="00E13B55">
              <w:rPr>
                <w:szCs w:val="24"/>
              </w:rPr>
              <w:t xml:space="preserve">ne mažesnė </w:t>
            </w:r>
            <w:r w:rsidR="00147636" w:rsidRPr="00E13B55">
              <w:rPr>
                <w:szCs w:val="24"/>
              </w:rPr>
              <w:t xml:space="preserve">kaip 11 kW, bet ne didesnė </w:t>
            </w:r>
            <w:r w:rsidR="00E9376D" w:rsidRPr="00E13B55">
              <w:rPr>
                <w:szCs w:val="24"/>
              </w:rPr>
              <w:t xml:space="preserve">arba lygi </w:t>
            </w:r>
            <w:r w:rsidR="00147636" w:rsidRPr="00E13B55">
              <w:rPr>
                <w:szCs w:val="24"/>
              </w:rPr>
              <w:t>22 kW, įsigijimo ir montavimo darbų išlaidų fiksuotasis vieneto įkainis, kai prieigų skaičius lygus 2, su PVM.</w:t>
            </w:r>
          </w:p>
          <w:p w14:paraId="73F4522B" w14:textId="4FD85143"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3(be PVM)</w:t>
            </w:r>
            <w:r w:rsidRPr="00E13B55">
              <w:rPr>
                <w:b/>
                <w:bCs/>
                <w:szCs w:val="24"/>
              </w:rPr>
              <w:t xml:space="preserve">: 16743,70 Eur. </w:t>
            </w:r>
            <w:r w:rsidR="00147636" w:rsidRPr="00E13B55">
              <w:rPr>
                <w:szCs w:val="24"/>
              </w:rPr>
              <w:t xml:space="preserve">Elektromobilių įkrovimo stotelių, kurių elektromobilių įkrovimo prieigos perduodama elektrinė galia yra didesnė kaip 22 kW, bet ne didesnė </w:t>
            </w:r>
            <w:r w:rsidR="00E9376D" w:rsidRPr="00E13B55">
              <w:rPr>
                <w:szCs w:val="24"/>
              </w:rPr>
              <w:t xml:space="preserve">arba lygi </w:t>
            </w:r>
            <w:r w:rsidR="00147636" w:rsidRPr="00E13B55">
              <w:rPr>
                <w:szCs w:val="24"/>
              </w:rPr>
              <w:t>49 kW, įsigijimo ir montavimo darbų išlaidų fiksuotasis vieneto įkainis, kai prieigų skaičius lygus 1, be PVM.</w:t>
            </w:r>
          </w:p>
          <w:p w14:paraId="7F01378D" w14:textId="38B2535A"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3(su PVM)</w:t>
            </w:r>
            <w:r w:rsidRPr="00E13B55">
              <w:rPr>
                <w:b/>
                <w:bCs/>
                <w:szCs w:val="24"/>
              </w:rPr>
              <w:t>: 20259,88 Eur.</w:t>
            </w:r>
            <w:r w:rsidR="00147636" w:rsidRPr="00E13B55">
              <w:rPr>
                <w:b/>
                <w:bCs/>
                <w:szCs w:val="24"/>
              </w:rPr>
              <w:t xml:space="preserve"> </w:t>
            </w:r>
            <w:r w:rsidR="00147636" w:rsidRPr="00E13B55">
              <w:rPr>
                <w:szCs w:val="24"/>
              </w:rPr>
              <w:t xml:space="preserve">Elektromobilių įkrovimo stotelių, kurių elektromobilių įkrovimo prieigos perduodama elektrinė galia yra didesnė kaip 22 kW, bet ne didesnė </w:t>
            </w:r>
            <w:r w:rsidR="00E9376D" w:rsidRPr="00E13B55">
              <w:rPr>
                <w:szCs w:val="24"/>
              </w:rPr>
              <w:t xml:space="preserve">arba lygi </w:t>
            </w:r>
            <w:r w:rsidR="00147636" w:rsidRPr="00E13B55">
              <w:rPr>
                <w:szCs w:val="24"/>
              </w:rPr>
              <w:t xml:space="preserve">49 kW, įsigijimo ir montavimo darbų išlaidų fiksuotasis vieneto įkainis, kai prieigų skaičius lygus 1, su PVM. </w:t>
            </w:r>
          </w:p>
          <w:p w14:paraId="6CBD06D8" w14:textId="2C347FA2"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4(be PVM)</w:t>
            </w:r>
            <w:r w:rsidRPr="00E13B55">
              <w:rPr>
                <w:b/>
                <w:bCs/>
                <w:szCs w:val="24"/>
              </w:rPr>
              <w:t xml:space="preserve">: 19628,70 Eur. </w:t>
            </w:r>
            <w:r w:rsidR="00147636" w:rsidRPr="00E13B55">
              <w:rPr>
                <w:szCs w:val="24"/>
              </w:rPr>
              <w:t xml:space="preserve">Elektromobilių įkrovimo stotelių, kurių elektromobilių įkrovimo prieigos perduodama elektrinė galia yra didesnė kaip 22 kW, bet ne didesnė </w:t>
            </w:r>
            <w:r w:rsidR="00E9376D" w:rsidRPr="00E13B55">
              <w:rPr>
                <w:szCs w:val="24"/>
              </w:rPr>
              <w:t xml:space="preserve">arba lygi </w:t>
            </w:r>
            <w:r w:rsidR="00147636" w:rsidRPr="00E13B55">
              <w:rPr>
                <w:szCs w:val="24"/>
              </w:rPr>
              <w:t>49 kW, įsigijimo ir montavimo darbų išlaidų fiksuotasis vieneto įkainis, kai prieigų skaičius lygus 2, be PVM.</w:t>
            </w:r>
          </w:p>
          <w:p w14:paraId="2ABC7898" w14:textId="75113ED1"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4(su PVM)</w:t>
            </w:r>
            <w:r w:rsidRPr="00E13B55">
              <w:rPr>
                <w:b/>
                <w:bCs/>
                <w:szCs w:val="24"/>
              </w:rPr>
              <w:t>: 23750,73 Eur.</w:t>
            </w:r>
            <w:r w:rsidR="00147636" w:rsidRPr="00E13B55">
              <w:rPr>
                <w:b/>
                <w:bCs/>
                <w:szCs w:val="24"/>
              </w:rPr>
              <w:t xml:space="preserve"> </w:t>
            </w:r>
            <w:r w:rsidR="00147636" w:rsidRPr="00E13B55">
              <w:rPr>
                <w:szCs w:val="24"/>
              </w:rPr>
              <w:t xml:space="preserve">Elektromobilių įkrovimo stotelių, kurių elektromobilių įkrovimo prieigos perduodama elektrinė galia yra didesnė kaip 22 kW, bet ne didesnė </w:t>
            </w:r>
            <w:r w:rsidR="00E9376D" w:rsidRPr="00E13B55">
              <w:rPr>
                <w:szCs w:val="24"/>
              </w:rPr>
              <w:t xml:space="preserve">arba lygi </w:t>
            </w:r>
            <w:r w:rsidR="00147636" w:rsidRPr="00E13B55">
              <w:rPr>
                <w:szCs w:val="24"/>
              </w:rPr>
              <w:t>49 kW, įsigijimo ir montavimo darbų išlaidų fiksuotasis vieneto įkainis, kai prieigų skaičius lygus 2, su PVM.</w:t>
            </w:r>
          </w:p>
          <w:p w14:paraId="1B6B16E5" w14:textId="2768DAA2" w:rsidR="007E0507" w:rsidRPr="00E13B55" w:rsidRDefault="007E0507" w:rsidP="007E0507">
            <w:pPr>
              <w:spacing w:before="0" w:after="0" w:line="276" w:lineRule="auto"/>
              <w:jc w:val="both"/>
              <w:rPr>
                <w:szCs w:val="24"/>
              </w:rPr>
            </w:pPr>
            <w:r w:rsidRPr="00E13B55">
              <w:rPr>
                <w:b/>
                <w:bCs/>
                <w:szCs w:val="24"/>
              </w:rPr>
              <w:lastRenderedPageBreak/>
              <w:t>FĮ</w:t>
            </w:r>
            <w:r w:rsidRPr="00E13B55">
              <w:rPr>
                <w:b/>
                <w:bCs/>
                <w:szCs w:val="24"/>
                <w:vertAlign w:val="subscript"/>
              </w:rPr>
              <w:t>5(be PVM)</w:t>
            </w:r>
            <w:r w:rsidRPr="00E13B55">
              <w:rPr>
                <w:b/>
                <w:bCs/>
                <w:szCs w:val="24"/>
              </w:rPr>
              <w:t xml:space="preserve">: </w:t>
            </w:r>
            <w:r w:rsidR="009D16D8" w:rsidRPr="00E13B55">
              <w:rPr>
                <w:b/>
                <w:bCs/>
                <w:szCs w:val="24"/>
              </w:rPr>
              <w:t>33910,36</w:t>
            </w:r>
            <w:r w:rsidRPr="00E13B55">
              <w:rPr>
                <w:b/>
                <w:bCs/>
                <w:szCs w:val="24"/>
              </w:rPr>
              <w:t xml:space="preserve"> Eur. </w:t>
            </w:r>
            <w:r w:rsidR="00147636" w:rsidRPr="00E13B55">
              <w:rPr>
                <w:szCs w:val="24"/>
              </w:rPr>
              <w:t xml:space="preserve">Elektromobilių įkrovimo stotelių, kurių elektromobilių įkrovimo prieigos perduodama elektrinė galia yra didesnė kaip 49 kW, bet ne didesnė </w:t>
            </w:r>
            <w:r w:rsidR="00E9376D" w:rsidRPr="00E13B55">
              <w:rPr>
                <w:szCs w:val="24"/>
              </w:rPr>
              <w:t xml:space="preserve">arba lygi </w:t>
            </w:r>
            <w:r w:rsidR="00147636" w:rsidRPr="00E13B55">
              <w:rPr>
                <w:szCs w:val="24"/>
              </w:rPr>
              <w:t>149 kW, įsigijimo ir montavimo darbų išlaidų fiksuotasis vieneto įkainis, kai prieigų skaičius lygus 1, be PVM.</w:t>
            </w:r>
          </w:p>
          <w:p w14:paraId="765A0117" w14:textId="4A4B7565"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5(su PVM)</w:t>
            </w:r>
            <w:r w:rsidRPr="00E13B55">
              <w:rPr>
                <w:b/>
                <w:bCs/>
                <w:szCs w:val="24"/>
              </w:rPr>
              <w:t xml:space="preserve">: </w:t>
            </w:r>
            <w:r w:rsidR="009D16D8" w:rsidRPr="00E13B55">
              <w:rPr>
                <w:b/>
                <w:bCs/>
                <w:szCs w:val="24"/>
              </w:rPr>
              <w:t>41031,54</w:t>
            </w:r>
            <w:r w:rsidRPr="00E13B55">
              <w:rPr>
                <w:b/>
                <w:bCs/>
                <w:szCs w:val="24"/>
              </w:rPr>
              <w:t xml:space="preserve"> Eur.</w:t>
            </w:r>
            <w:r w:rsidR="00147636" w:rsidRPr="00E13B55">
              <w:rPr>
                <w:b/>
                <w:bCs/>
                <w:szCs w:val="24"/>
              </w:rPr>
              <w:t xml:space="preserve"> </w:t>
            </w:r>
            <w:r w:rsidR="00147636" w:rsidRPr="00E13B55">
              <w:rPr>
                <w:szCs w:val="24"/>
              </w:rPr>
              <w:t xml:space="preserve">Elektromobilių įkrovimo stotelių, kurių elektromobilių įkrovimo prieigos perduodama elektrinė galia yra didesnė kaip 49 kW, bet ne didesnė </w:t>
            </w:r>
            <w:r w:rsidR="00E9376D" w:rsidRPr="00E13B55">
              <w:rPr>
                <w:szCs w:val="24"/>
              </w:rPr>
              <w:t xml:space="preserve">arba lygi </w:t>
            </w:r>
            <w:r w:rsidR="00147636" w:rsidRPr="00E13B55">
              <w:rPr>
                <w:szCs w:val="24"/>
              </w:rPr>
              <w:t>149 kW, įsigijimo ir montavimo darbų išlaidų fiksuotasis vieneto įkainis, kai prieigų skaičius lygus 1, su PVM.</w:t>
            </w:r>
          </w:p>
          <w:p w14:paraId="226A702E" w14:textId="2C58A65A" w:rsidR="007E0507" w:rsidRPr="00E13B55" w:rsidRDefault="007E0507" w:rsidP="007E0507">
            <w:pPr>
              <w:spacing w:before="0" w:after="0" w:line="276" w:lineRule="auto"/>
              <w:jc w:val="both"/>
              <w:rPr>
                <w:szCs w:val="24"/>
              </w:rPr>
            </w:pPr>
            <w:r w:rsidRPr="00E13B55">
              <w:rPr>
                <w:b/>
                <w:bCs/>
                <w:szCs w:val="24"/>
              </w:rPr>
              <w:t>FĮ</w:t>
            </w:r>
            <w:r w:rsidRPr="00E13B55">
              <w:rPr>
                <w:b/>
                <w:bCs/>
                <w:szCs w:val="24"/>
                <w:vertAlign w:val="subscript"/>
              </w:rPr>
              <w:t>6(be PVM)</w:t>
            </w:r>
            <w:r w:rsidRPr="00E13B55">
              <w:rPr>
                <w:b/>
                <w:bCs/>
                <w:szCs w:val="24"/>
              </w:rPr>
              <w:t xml:space="preserve">: </w:t>
            </w:r>
            <w:r w:rsidR="009D16D8" w:rsidRPr="00E13B55">
              <w:rPr>
                <w:b/>
                <w:bCs/>
                <w:szCs w:val="24"/>
              </w:rPr>
              <w:t>39526,79</w:t>
            </w:r>
            <w:r w:rsidRPr="00E13B55">
              <w:rPr>
                <w:b/>
                <w:bCs/>
                <w:szCs w:val="24"/>
              </w:rPr>
              <w:t xml:space="preserve"> Eur. </w:t>
            </w:r>
            <w:r w:rsidR="00147636" w:rsidRPr="00E13B55">
              <w:rPr>
                <w:szCs w:val="24"/>
              </w:rPr>
              <w:t xml:space="preserve">Elektromobilių įkrovimo stotelių, kurių elektromobilių įkrovimo prieigos perduodama elektrinė galia yra didesnė kaip 49 kW, bet ne didesnė </w:t>
            </w:r>
            <w:r w:rsidR="00E9376D" w:rsidRPr="00E13B55">
              <w:rPr>
                <w:szCs w:val="24"/>
              </w:rPr>
              <w:t xml:space="preserve">arba lygi </w:t>
            </w:r>
            <w:r w:rsidR="00147636" w:rsidRPr="00E13B55">
              <w:rPr>
                <w:szCs w:val="24"/>
              </w:rPr>
              <w:t>149 kW, įsigijimo ir montavimo darbų išlaidų fiksuotasis vieneto įkainis, kai prieigų skaičius lygus 2 ir daugiau, be PVM.</w:t>
            </w:r>
          </w:p>
          <w:p w14:paraId="685E57EB" w14:textId="1FD2159D"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6(su PVM)</w:t>
            </w:r>
            <w:r w:rsidRPr="00E13B55">
              <w:rPr>
                <w:b/>
                <w:bCs/>
                <w:szCs w:val="24"/>
              </w:rPr>
              <w:t xml:space="preserve">: </w:t>
            </w:r>
            <w:r w:rsidR="009D16D8" w:rsidRPr="00E13B55">
              <w:rPr>
                <w:b/>
                <w:bCs/>
                <w:szCs w:val="24"/>
              </w:rPr>
              <w:t>47827,42</w:t>
            </w:r>
            <w:r w:rsidRPr="00E13B55">
              <w:rPr>
                <w:b/>
                <w:bCs/>
                <w:szCs w:val="24"/>
              </w:rPr>
              <w:t xml:space="preserve"> Eur.</w:t>
            </w:r>
            <w:r w:rsidR="00147636" w:rsidRPr="00E13B55">
              <w:rPr>
                <w:b/>
                <w:bCs/>
                <w:szCs w:val="24"/>
              </w:rPr>
              <w:t xml:space="preserve"> </w:t>
            </w:r>
            <w:r w:rsidR="00147636" w:rsidRPr="00E13B55">
              <w:rPr>
                <w:szCs w:val="24"/>
              </w:rPr>
              <w:t xml:space="preserve">Elektromobilių įkrovimo stotelių, kurių elektromobilių įkrovimo prieigos perduodama elektrinė galia yra didesnė kaip 49 kW, bet ne didesnė </w:t>
            </w:r>
            <w:r w:rsidR="00E9376D" w:rsidRPr="00E13B55">
              <w:rPr>
                <w:szCs w:val="24"/>
              </w:rPr>
              <w:t xml:space="preserve">arba lygi </w:t>
            </w:r>
            <w:r w:rsidR="00147636" w:rsidRPr="00E13B55">
              <w:rPr>
                <w:szCs w:val="24"/>
              </w:rPr>
              <w:t>149 kW, įsigijimo ir montavimo darbų išlaidų fiksuotasis vieneto įkainis, kai prieigų skaičius lygus 2 ir daugiau, su PVM.</w:t>
            </w:r>
          </w:p>
          <w:p w14:paraId="2D07BCE2" w14:textId="06BDC9F5"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7(be PVM)</w:t>
            </w:r>
            <w:r w:rsidRPr="00E13B55">
              <w:rPr>
                <w:b/>
                <w:bCs/>
                <w:szCs w:val="24"/>
              </w:rPr>
              <w:t xml:space="preserve">: </w:t>
            </w:r>
            <w:r w:rsidR="009D16D8" w:rsidRPr="00E13B55">
              <w:rPr>
                <w:b/>
                <w:bCs/>
                <w:szCs w:val="24"/>
              </w:rPr>
              <w:t>51615,43</w:t>
            </w:r>
            <w:r w:rsidR="00147636" w:rsidRPr="00E13B55">
              <w:rPr>
                <w:b/>
                <w:bCs/>
                <w:szCs w:val="24"/>
              </w:rPr>
              <w:t xml:space="preserve"> </w:t>
            </w:r>
            <w:r w:rsidRPr="00E13B55">
              <w:rPr>
                <w:b/>
                <w:bCs/>
                <w:szCs w:val="24"/>
              </w:rPr>
              <w:t xml:space="preserve">Eur. </w:t>
            </w:r>
            <w:r w:rsidR="00147636" w:rsidRPr="00E13B55">
              <w:rPr>
                <w:szCs w:val="24"/>
              </w:rPr>
              <w:t>Elektromobilių įkrovimo stotelių, kurių elektromobilių įkrovimo prieigos perduodama elektrinė galia yra didesnė kaip 149 kW, įsigijimo ir montavimo darbų išlaidų fiksuotasis vieneto įkainis, kai prieigų skaičius lygus 1, be PVM.</w:t>
            </w:r>
            <w:r w:rsidR="00147636" w:rsidRPr="00E13B55">
              <w:rPr>
                <w:b/>
                <w:bCs/>
                <w:szCs w:val="24"/>
              </w:rPr>
              <w:t xml:space="preserve"> </w:t>
            </w:r>
          </w:p>
          <w:p w14:paraId="1CE5E4D9" w14:textId="049C6C28"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7(su PVM)</w:t>
            </w:r>
            <w:r w:rsidRPr="00E13B55">
              <w:rPr>
                <w:b/>
                <w:bCs/>
                <w:szCs w:val="24"/>
              </w:rPr>
              <w:t xml:space="preserve">: </w:t>
            </w:r>
            <w:r w:rsidR="009D16D8" w:rsidRPr="00E13B55">
              <w:rPr>
                <w:b/>
                <w:bCs/>
                <w:szCs w:val="24"/>
              </w:rPr>
              <w:t>62454,67</w:t>
            </w:r>
            <w:r w:rsidR="00147636" w:rsidRPr="00E13B55">
              <w:rPr>
                <w:b/>
                <w:bCs/>
                <w:szCs w:val="24"/>
              </w:rPr>
              <w:t xml:space="preserve"> </w:t>
            </w:r>
            <w:r w:rsidRPr="00E13B55">
              <w:rPr>
                <w:b/>
                <w:bCs/>
                <w:szCs w:val="24"/>
              </w:rPr>
              <w:t>Eur.</w:t>
            </w:r>
            <w:r w:rsidR="00147636" w:rsidRPr="00E13B55">
              <w:rPr>
                <w:b/>
                <w:bCs/>
                <w:szCs w:val="24"/>
              </w:rPr>
              <w:t xml:space="preserve"> </w:t>
            </w:r>
            <w:r w:rsidR="00147636" w:rsidRPr="00E13B55">
              <w:rPr>
                <w:szCs w:val="24"/>
              </w:rPr>
              <w:t>Elektromobilių įkrovimo stotelių, kurių elektromobilių įkrovimo prieigos perduodama elektrinė galia yra didesnė kaip 149 kW, įsigijimo ir montavimo darbų išlaidų fiksuotasis vieneto įkainis, kai prieigų skaičius lygus 1, su PVM.</w:t>
            </w:r>
          </w:p>
          <w:p w14:paraId="3A891BE5" w14:textId="7BBF12E5" w:rsidR="007E050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8(be PVM)</w:t>
            </w:r>
            <w:r w:rsidRPr="00E13B55">
              <w:rPr>
                <w:b/>
                <w:bCs/>
                <w:szCs w:val="24"/>
              </w:rPr>
              <w:t xml:space="preserve">: </w:t>
            </w:r>
            <w:r w:rsidR="009D16D8" w:rsidRPr="00E13B55">
              <w:rPr>
                <w:b/>
                <w:bCs/>
                <w:szCs w:val="24"/>
              </w:rPr>
              <w:t>68485,43</w:t>
            </w:r>
            <w:r w:rsidR="00147636" w:rsidRPr="00E13B55">
              <w:rPr>
                <w:b/>
                <w:bCs/>
                <w:szCs w:val="24"/>
              </w:rPr>
              <w:t xml:space="preserve"> </w:t>
            </w:r>
            <w:r w:rsidRPr="00E13B55">
              <w:rPr>
                <w:b/>
                <w:bCs/>
                <w:szCs w:val="24"/>
              </w:rPr>
              <w:t xml:space="preserve">Eur. </w:t>
            </w:r>
            <w:r w:rsidR="00147636" w:rsidRPr="00E13B55">
              <w:rPr>
                <w:szCs w:val="24"/>
              </w:rPr>
              <w:t>Elektromobilių įkrovimo stotelių, kurių elektromobilių įkrovimo prieigos perduodama elektrinė galia yra didesnė kaip 149 kW, įsigijimo ir montavimo darbų išlaidų fiksuotasis vieneto įkainis, kai prieigų skaičius lygus 2 ir daugiau, be PVM.</w:t>
            </w:r>
            <w:r w:rsidR="00147636" w:rsidRPr="00E13B55">
              <w:rPr>
                <w:b/>
                <w:bCs/>
                <w:szCs w:val="24"/>
              </w:rPr>
              <w:t xml:space="preserve"> </w:t>
            </w:r>
          </w:p>
          <w:p w14:paraId="69DB307C" w14:textId="46B22C09" w:rsidR="00DC0F17" w:rsidRPr="00E13B55" w:rsidRDefault="007E0507" w:rsidP="007E0507">
            <w:pPr>
              <w:spacing w:before="0" w:after="0" w:line="276" w:lineRule="auto"/>
              <w:jc w:val="both"/>
              <w:rPr>
                <w:b/>
                <w:bCs/>
                <w:szCs w:val="24"/>
              </w:rPr>
            </w:pPr>
            <w:r w:rsidRPr="00E13B55">
              <w:rPr>
                <w:b/>
                <w:bCs/>
                <w:szCs w:val="24"/>
              </w:rPr>
              <w:t>FĮ</w:t>
            </w:r>
            <w:r w:rsidRPr="00E13B55">
              <w:rPr>
                <w:b/>
                <w:bCs/>
                <w:szCs w:val="24"/>
                <w:vertAlign w:val="subscript"/>
              </w:rPr>
              <w:t>8(su PVM)</w:t>
            </w:r>
            <w:r w:rsidRPr="00E13B55">
              <w:rPr>
                <w:b/>
                <w:bCs/>
                <w:szCs w:val="24"/>
              </w:rPr>
              <w:t xml:space="preserve">: </w:t>
            </w:r>
            <w:r w:rsidR="009D16D8" w:rsidRPr="00E13B55">
              <w:rPr>
                <w:b/>
                <w:bCs/>
                <w:szCs w:val="24"/>
              </w:rPr>
              <w:t>82867,37</w:t>
            </w:r>
            <w:r w:rsidR="00147636" w:rsidRPr="00E13B55">
              <w:rPr>
                <w:b/>
                <w:bCs/>
                <w:szCs w:val="24"/>
              </w:rPr>
              <w:t xml:space="preserve"> </w:t>
            </w:r>
            <w:r w:rsidRPr="00E13B55">
              <w:rPr>
                <w:b/>
                <w:bCs/>
                <w:szCs w:val="24"/>
              </w:rPr>
              <w:t>Eur.</w:t>
            </w:r>
            <w:r w:rsidR="00147636" w:rsidRPr="00E13B55">
              <w:rPr>
                <w:b/>
                <w:bCs/>
                <w:szCs w:val="24"/>
              </w:rPr>
              <w:t xml:space="preserve"> </w:t>
            </w:r>
            <w:r w:rsidR="00147636" w:rsidRPr="00E13B55">
              <w:rPr>
                <w:szCs w:val="24"/>
              </w:rPr>
              <w:t>Elektromobilių įkrovimo stotelių, kurių elektromobilių įkrovimo prieigos perduodama elektrinė galia yra didesnė kaip 149 kW, įsigijimo ir montavimo darbų išlaidų fiksuotasis vieneto įkainis, kai prieigų skaičius lygus 2 ir daugiau, su PVM.</w:t>
            </w:r>
          </w:p>
        </w:tc>
      </w:tr>
      <w:tr w:rsidR="00174E86" w:rsidRPr="00D62DD8" w14:paraId="3D1AE26B" w14:textId="77777777" w:rsidTr="002B7493">
        <w:trPr>
          <w:trHeight w:val="851"/>
        </w:trPr>
        <w:tc>
          <w:tcPr>
            <w:tcW w:w="3417" w:type="dxa"/>
            <w:shd w:val="clear" w:color="auto" w:fill="auto"/>
            <w:vAlign w:val="center"/>
          </w:tcPr>
          <w:p w14:paraId="61E08054" w14:textId="77777777" w:rsidR="00174E86" w:rsidRDefault="00174E86" w:rsidP="00CA0D3A">
            <w:pPr>
              <w:spacing w:before="0" w:after="0" w:line="276" w:lineRule="auto"/>
            </w:pPr>
            <w:r>
              <w:lastRenderedPageBreak/>
              <w:t>7. Išlaidų kategorijos, kurioms taikomas vieneto įkainis, fiksuotoji suma arba fiksuotoji norma</w:t>
            </w:r>
          </w:p>
        </w:tc>
        <w:tc>
          <w:tcPr>
            <w:tcW w:w="6124" w:type="dxa"/>
            <w:vAlign w:val="center"/>
          </w:tcPr>
          <w:p w14:paraId="0CD9BBD0" w14:textId="7FD6D9BC" w:rsidR="00241B09" w:rsidRPr="005F4047" w:rsidRDefault="00241B09" w:rsidP="00241B09">
            <w:pPr>
              <w:spacing w:before="60" w:after="60" w:line="240" w:lineRule="auto"/>
              <w:jc w:val="both"/>
            </w:pPr>
            <w:r w:rsidRPr="005F4047">
              <w:t xml:space="preserve">Fiksuotuosius vieneto įkainius </w:t>
            </w:r>
            <w:r w:rsidR="00147636">
              <w:t>(FĮ</w:t>
            </w:r>
            <w:r w:rsidR="00147636" w:rsidRPr="00147636">
              <w:rPr>
                <w:vertAlign w:val="subscript"/>
              </w:rPr>
              <w:t>1</w:t>
            </w:r>
            <w:r w:rsidR="00147636">
              <w:t>–FĮ</w:t>
            </w:r>
            <w:r w:rsidR="00147636" w:rsidRPr="00147636">
              <w:rPr>
                <w:vertAlign w:val="subscript"/>
              </w:rPr>
              <w:t>8</w:t>
            </w:r>
            <w:r w:rsidR="00147636">
              <w:t xml:space="preserve">) </w:t>
            </w:r>
            <w:r w:rsidRPr="005F4047">
              <w:t>sudaro šios išlaidų kategorijos:</w:t>
            </w:r>
          </w:p>
          <w:p w14:paraId="7A4E020A" w14:textId="37BC6DD5" w:rsidR="00241B09" w:rsidRPr="005F4047" w:rsidRDefault="00241B09" w:rsidP="00241B09">
            <w:pPr>
              <w:pStyle w:val="ListParagraph"/>
              <w:numPr>
                <w:ilvl w:val="0"/>
                <w:numId w:val="13"/>
              </w:numPr>
              <w:spacing w:before="60" w:after="60" w:line="240" w:lineRule="auto"/>
              <w:jc w:val="both"/>
            </w:pPr>
            <w:r w:rsidRPr="005F4047">
              <w:t>elektromobilių įkrovimo stotelės su prieiga</w:t>
            </w:r>
            <w:r w:rsidR="00007063">
              <w:t xml:space="preserve"> (–</w:t>
            </w:r>
            <w:proofErr w:type="spellStart"/>
            <w:r w:rsidR="00007063">
              <w:t>omis</w:t>
            </w:r>
            <w:proofErr w:type="spellEnd"/>
            <w:r w:rsidR="00007063">
              <w:t>)</w:t>
            </w:r>
            <w:r w:rsidRPr="005F4047">
              <w:t xml:space="preserve"> įsigijimo išlaidos; </w:t>
            </w:r>
          </w:p>
          <w:p w14:paraId="14608790" w14:textId="03E5EFD9" w:rsidR="00241B09" w:rsidRDefault="00241B09" w:rsidP="0044581C">
            <w:pPr>
              <w:pStyle w:val="ListParagraph"/>
              <w:numPr>
                <w:ilvl w:val="0"/>
                <w:numId w:val="13"/>
              </w:numPr>
              <w:spacing w:before="60" w:after="60" w:line="240" w:lineRule="auto"/>
              <w:jc w:val="both"/>
            </w:pPr>
            <w:r w:rsidRPr="005F4047">
              <w:lastRenderedPageBreak/>
              <w:t>montavimo darbų išlaidos</w:t>
            </w:r>
            <w:r w:rsidR="00F26875">
              <w:t xml:space="preserve"> (e</w:t>
            </w:r>
            <w:r w:rsidR="00F26875" w:rsidRPr="00F26875">
              <w:t>lektromobilių įkrovimo stotelės sumontavimo, pajungimo ir derinimo darbų išlaidos, išskyrus prijungimo prie įvado išlaidas, kurias kompensuoja ESO</w:t>
            </w:r>
            <w:r w:rsidR="00F26875">
              <w:t>)</w:t>
            </w:r>
            <w:r w:rsidRPr="005F4047">
              <w:t xml:space="preserve">. </w:t>
            </w:r>
          </w:p>
          <w:p w14:paraId="1949BE6C" w14:textId="620B2189" w:rsidR="00D76DC2" w:rsidRPr="00D655E9" w:rsidRDefault="00ED49D9" w:rsidP="00CA0D3A">
            <w:pPr>
              <w:spacing w:before="0" w:after="0" w:line="276" w:lineRule="auto"/>
              <w:jc w:val="both"/>
              <w:rPr>
                <w:b/>
                <w:bCs/>
                <w:szCs w:val="24"/>
              </w:rPr>
            </w:pPr>
            <w:r w:rsidRPr="00694D4A">
              <w:t xml:space="preserve">Pagal nacionalinius teisės aktus, reglamentuojančius ES projektų įgyvendinimą, pridėtinės vertės mokestis (toliau – PVM) yra tinkamas finansuoti ūkio subjektams, kurie pagal PVM įstatymą negali PVM susigrąžinti arba jo nesusigrąžina. </w:t>
            </w:r>
            <w:bookmarkStart w:id="15" w:name="_Hlk94535349"/>
            <w:r w:rsidRPr="00694D4A">
              <w:t xml:space="preserve">Įgyvendinant veiklas, </w:t>
            </w:r>
            <w:bookmarkEnd w:id="15"/>
            <w:r w:rsidRPr="00694D4A">
              <w:t>projekt</w:t>
            </w:r>
            <w:r w:rsidR="00B3223B">
              <w:t>ų</w:t>
            </w:r>
            <w:r w:rsidRPr="00694D4A">
              <w:t xml:space="preserve"> vykdytojais bus ūkio subjektai, kurie PVM susigrąžins ir taikys </w:t>
            </w:r>
            <w:r w:rsidR="00007063" w:rsidRPr="00694D4A">
              <w:t>fiksuot</w:t>
            </w:r>
            <w:r w:rsidR="00007063">
              <w:t>uosius</w:t>
            </w:r>
            <w:r w:rsidR="00007063" w:rsidRPr="00694D4A">
              <w:t xml:space="preserve"> </w:t>
            </w:r>
            <w:r w:rsidRPr="00694D4A">
              <w:t xml:space="preserve">vieneto </w:t>
            </w:r>
            <w:r w:rsidR="00007063" w:rsidRPr="00694D4A">
              <w:t>įkain</w:t>
            </w:r>
            <w:r w:rsidR="00007063">
              <w:t>ius</w:t>
            </w:r>
            <w:r w:rsidR="00007063" w:rsidRPr="00694D4A">
              <w:t xml:space="preserve"> </w:t>
            </w:r>
            <w:r w:rsidRPr="00694D4A">
              <w:t xml:space="preserve">be PVM, bei, kurie PVM nesusigrąžins ir taikys </w:t>
            </w:r>
            <w:r w:rsidR="00007063" w:rsidRPr="00694D4A">
              <w:t>fiksuot</w:t>
            </w:r>
            <w:r w:rsidR="00007063">
              <w:t>uosius</w:t>
            </w:r>
            <w:r w:rsidR="00007063" w:rsidRPr="00694D4A">
              <w:t xml:space="preserve"> </w:t>
            </w:r>
            <w:r w:rsidRPr="00694D4A">
              <w:t xml:space="preserve">vieneto </w:t>
            </w:r>
            <w:r w:rsidR="00007063" w:rsidRPr="00694D4A">
              <w:t>įkain</w:t>
            </w:r>
            <w:r w:rsidR="00007063">
              <w:t>ius</w:t>
            </w:r>
            <w:r w:rsidR="00007063" w:rsidRPr="00694D4A">
              <w:t xml:space="preserve"> </w:t>
            </w:r>
            <w:r w:rsidRPr="00694D4A">
              <w:t>su PVM.</w:t>
            </w:r>
            <w:r>
              <w:t xml:space="preserve"> </w:t>
            </w:r>
            <w:r w:rsidRPr="00CF0152">
              <w:t xml:space="preserve">Faktinis PVM tinkamumas finansuoti </w:t>
            </w:r>
            <w:r w:rsidRPr="00AB7018">
              <w:t>(iš nacionalinių lėšų)</w:t>
            </w:r>
            <w:r>
              <w:t xml:space="preserve"> yra</w:t>
            </w:r>
            <w:r w:rsidRPr="00CF0152">
              <w:t xml:space="preserve"> nurodytas nacionaliniuose teisės aktuose, reglamentuojančiuose ES projektų įgyvendinimą</w:t>
            </w:r>
            <w:r>
              <w:t>.</w:t>
            </w:r>
          </w:p>
        </w:tc>
      </w:tr>
      <w:tr w:rsidR="00174E86" w:rsidRPr="00D62DD8" w14:paraId="4E79A61F" w14:textId="77777777" w:rsidTr="002B7493">
        <w:trPr>
          <w:trHeight w:val="851"/>
        </w:trPr>
        <w:tc>
          <w:tcPr>
            <w:tcW w:w="3417" w:type="dxa"/>
            <w:shd w:val="clear" w:color="auto" w:fill="auto"/>
            <w:vAlign w:val="center"/>
          </w:tcPr>
          <w:p w14:paraId="4B6CEAA7" w14:textId="77777777" w:rsidR="00174E86" w:rsidRDefault="00174E86" w:rsidP="00CA0D3A">
            <w:pPr>
              <w:spacing w:before="0" w:after="0" w:line="276" w:lineRule="auto"/>
            </w:pPr>
            <w:r>
              <w:lastRenderedPageBreak/>
              <w:t>8. Ar šios išlaidų kategorijos apima visas veiksmo tinkamas finansuoti išlaidas? (T/N)</w:t>
            </w:r>
          </w:p>
        </w:tc>
        <w:tc>
          <w:tcPr>
            <w:tcW w:w="6124" w:type="dxa"/>
            <w:vAlign w:val="center"/>
          </w:tcPr>
          <w:p w14:paraId="646A39AB" w14:textId="77777777" w:rsidR="007C6794" w:rsidRDefault="007C6794" w:rsidP="007C6794">
            <w:pPr>
              <w:spacing w:after="0" w:line="240" w:lineRule="auto"/>
              <w:jc w:val="both"/>
              <w:rPr>
                <w:iCs/>
                <w:noProof/>
              </w:rPr>
            </w:pPr>
            <w:r>
              <w:rPr>
                <w:iCs/>
                <w:noProof/>
              </w:rPr>
              <w:t>N</w:t>
            </w:r>
          </w:p>
          <w:p w14:paraId="2C72E2F5" w14:textId="5A33503A" w:rsidR="00174E86" w:rsidRDefault="007C6794" w:rsidP="007C6794">
            <w:pPr>
              <w:spacing w:before="0" w:after="0" w:line="276" w:lineRule="auto"/>
              <w:jc w:val="both"/>
            </w:pPr>
            <w:r w:rsidRPr="00A37806">
              <w:rPr>
                <w:iCs/>
                <w:noProof/>
              </w:rPr>
              <w:t xml:space="preserve">Veiksmų, išvardintų šio priedėlio B dalies 1 punkte, tikslų pasiekimui bus </w:t>
            </w:r>
            <w:r>
              <w:rPr>
                <w:iCs/>
                <w:noProof/>
              </w:rPr>
              <w:t xml:space="preserve">patiriamos </w:t>
            </w:r>
            <w:r w:rsidRPr="00A37806">
              <w:rPr>
                <w:iCs/>
                <w:noProof/>
              </w:rPr>
              <w:t>netiesioginės projektų veiklų vykdymo išlaidos.</w:t>
            </w:r>
          </w:p>
        </w:tc>
      </w:tr>
      <w:tr w:rsidR="009C720B" w:rsidRPr="00D62DD8" w14:paraId="7E9A267D" w14:textId="77777777" w:rsidTr="002B7493">
        <w:trPr>
          <w:trHeight w:val="694"/>
        </w:trPr>
        <w:tc>
          <w:tcPr>
            <w:tcW w:w="3417" w:type="dxa"/>
            <w:shd w:val="clear" w:color="auto" w:fill="auto"/>
            <w:vAlign w:val="center"/>
          </w:tcPr>
          <w:p w14:paraId="2BE6DA4A" w14:textId="77777777" w:rsidR="009C720B" w:rsidRPr="00D62DD8" w:rsidRDefault="009C720B" w:rsidP="009C720B">
            <w:pPr>
              <w:spacing w:before="0" w:after="0" w:line="276" w:lineRule="auto"/>
            </w:pPr>
            <w:r>
              <w:t>9. Koregavimo (-ų) metodas</w:t>
            </w:r>
            <w:r w:rsidRPr="005404DF">
              <w:rPr>
                <w:rStyle w:val="FootnoteReference"/>
                <w:b w:val="0"/>
              </w:rPr>
              <w:footnoteReference w:id="7"/>
            </w:r>
            <w:r>
              <w:t xml:space="preserve"> </w:t>
            </w:r>
          </w:p>
        </w:tc>
        <w:tc>
          <w:tcPr>
            <w:tcW w:w="6124" w:type="dxa"/>
            <w:vAlign w:val="center"/>
          </w:tcPr>
          <w:p w14:paraId="7EF10001" w14:textId="22CA431C" w:rsidR="009C720B" w:rsidRPr="00174E86" w:rsidRDefault="00002CFB" w:rsidP="00803CED">
            <w:pPr>
              <w:spacing w:before="0" w:after="0" w:line="240" w:lineRule="auto"/>
              <w:jc w:val="both"/>
              <w:rPr>
                <w:i/>
                <w:iCs/>
                <w:color w:val="FF0000"/>
              </w:rPr>
            </w:pPr>
            <w:r>
              <w:t>Nenumatoma.</w:t>
            </w:r>
          </w:p>
        </w:tc>
      </w:tr>
      <w:tr w:rsidR="00174E86" w:rsidRPr="00D62DD8" w14:paraId="1BC7FBDE" w14:textId="77777777" w:rsidTr="002B7493">
        <w:trPr>
          <w:trHeight w:val="851"/>
        </w:trPr>
        <w:tc>
          <w:tcPr>
            <w:tcW w:w="3417" w:type="dxa"/>
            <w:shd w:val="clear" w:color="auto" w:fill="auto"/>
            <w:vAlign w:val="center"/>
          </w:tcPr>
          <w:p w14:paraId="7AC37AA0" w14:textId="77777777" w:rsidR="00174E86" w:rsidRPr="00D62DD8" w:rsidRDefault="00174E86" w:rsidP="00CA0D3A">
            <w:pPr>
              <w:spacing w:before="0" w:after="0" w:line="276" w:lineRule="auto"/>
            </w:pPr>
            <w:r>
              <w:t>10. Vienetų pasiekimo tikrinimas</w:t>
            </w:r>
          </w:p>
          <w:p w14:paraId="384437A6" w14:textId="77777777" w:rsidR="00174E86" w:rsidRPr="00D62DD8" w:rsidRDefault="00174E86" w:rsidP="00CA0D3A">
            <w:pPr>
              <w:spacing w:before="0" w:after="0" w:line="276" w:lineRule="auto"/>
            </w:pPr>
            <w:r>
              <w:t>– Aprašykite, kokiu (-</w:t>
            </w:r>
            <w:proofErr w:type="spellStart"/>
            <w:r>
              <w:t>iais</w:t>
            </w:r>
            <w:proofErr w:type="spellEnd"/>
            <w:r>
              <w:t>) dokumentu (-</w:t>
            </w:r>
            <w:proofErr w:type="spellStart"/>
            <w:r>
              <w:t>ais</w:t>
            </w:r>
            <w:proofErr w:type="spellEnd"/>
            <w:r>
              <w:t>) / sistema bus remiamasi tikrinant, ar pateikti vienetai pasiekti</w:t>
            </w:r>
          </w:p>
          <w:p w14:paraId="2C17A7F5" w14:textId="77777777" w:rsidR="00174E86" w:rsidRPr="00D62DD8" w:rsidRDefault="00174E86" w:rsidP="00CA0D3A">
            <w:pPr>
              <w:spacing w:before="0" w:after="0" w:line="276" w:lineRule="auto"/>
            </w:pPr>
            <w:r>
              <w:t>– Aprašykite, kas bus tikrinama valdymo patikrinimų metu ir kas juos atliks</w:t>
            </w:r>
          </w:p>
          <w:p w14:paraId="229334E0" w14:textId="77777777" w:rsidR="00174E86" w:rsidRPr="00D62DD8" w:rsidRDefault="00174E86" w:rsidP="00CA0D3A">
            <w:pPr>
              <w:spacing w:before="0" w:after="0" w:line="276" w:lineRule="auto"/>
            </w:pPr>
            <w:r>
              <w:t xml:space="preserve">– Aprašykite, kokia bus atitinkamų duomenų / dokumentų rinkimo ir saugojimo tvarka </w:t>
            </w:r>
          </w:p>
        </w:tc>
        <w:tc>
          <w:tcPr>
            <w:tcW w:w="6124" w:type="dxa"/>
            <w:vAlign w:val="center"/>
          </w:tcPr>
          <w:p w14:paraId="3D4401A7" w14:textId="77777777" w:rsidR="009C720B" w:rsidRPr="005F4047" w:rsidRDefault="009C720B" w:rsidP="009C720B">
            <w:pPr>
              <w:spacing w:before="60" w:after="60" w:line="240" w:lineRule="auto"/>
              <w:jc w:val="both"/>
            </w:pPr>
            <w:r w:rsidRPr="005F4047">
              <w:t xml:space="preserve">Siekiant gauti apmokėjimą pagal fiksuotuosius vieneto įkainius, fiksuotųjų vieneto įkainių rezultatams pagrįsti bus kaupiami šie rezultato pasiekimą pagrindžiantys dokumentai: </w:t>
            </w:r>
          </w:p>
          <w:p w14:paraId="75003BB5" w14:textId="471BE888" w:rsidR="009C720B" w:rsidRDefault="009C720B" w:rsidP="009C720B">
            <w:pPr>
              <w:pStyle w:val="ListParagraph"/>
              <w:numPr>
                <w:ilvl w:val="0"/>
                <w:numId w:val="14"/>
              </w:numPr>
              <w:spacing w:before="60" w:after="60" w:line="240" w:lineRule="auto"/>
              <w:jc w:val="both"/>
            </w:pPr>
            <w:r w:rsidRPr="005F4047">
              <w:t xml:space="preserve">elektromobilių įkrovimo </w:t>
            </w:r>
            <w:r w:rsidR="00BC1DB6">
              <w:t>stotelės</w:t>
            </w:r>
            <w:r w:rsidR="00BC1DB6" w:rsidRPr="005F4047">
              <w:t xml:space="preserve"> </w:t>
            </w:r>
            <w:r w:rsidRPr="005F4047">
              <w:t>įrengimą pagrindžiančių bei perėmimo nuosavybėn įrodančių dokumentų kopijos (</w:t>
            </w:r>
            <w:r w:rsidR="007D16BC">
              <w:t>perdavimo-</w:t>
            </w:r>
            <w:r w:rsidR="00E9376D">
              <w:t>priėmimo</w:t>
            </w:r>
            <w:r w:rsidR="00F02A8D">
              <w:t xml:space="preserve"> </w:t>
            </w:r>
            <w:r w:rsidR="00E9376D">
              <w:t>aktas</w:t>
            </w:r>
            <w:r w:rsidR="007D16BC">
              <w:t xml:space="preserve"> </w:t>
            </w:r>
            <w:r w:rsidRPr="005F4047">
              <w:t>ar kiti lygiaverčiai dokumentai)</w:t>
            </w:r>
            <w:r w:rsidR="00BC1DB6">
              <w:t xml:space="preserve">, kuriose nurodyta </w:t>
            </w:r>
            <w:r w:rsidR="00BC1DB6" w:rsidRPr="00BC1DB6">
              <w:t>elektromobilių įkrovimo prieigos perduodama elektrinė galia</w:t>
            </w:r>
            <w:r w:rsidR="00BC1DB6">
              <w:t xml:space="preserve"> bei </w:t>
            </w:r>
            <w:r w:rsidR="00BC1DB6" w:rsidRPr="00147636">
              <w:rPr>
                <w:szCs w:val="24"/>
              </w:rPr>
              <w:t>prieigų skaičius</w:t>
            </w:r>
            <w:r w:rsidRPr="005F4047">
              <w:t>;</w:t>
            </w:r>
          </w:p>
          <w:p w14:paraId="26A5ECB8" w14:textId="380DC8D1" w:rsidR="00057D3B" w:rsidRPr="005F4047" w:rsidRDefault="00377358" w:rsidP="009C720B">
            <w:pPr>
              <w:pStyle w:val="ListParagraph"/>
              <w:numPr>
                <w:ilvl w:val="0"/>
                <w:numId w:val="14"/>
              </w:numPr>
              <w:spacing w:before="60" w:after="60" w:line="240" w:lineRule="auto"/>
              <w:jc w:val="both"/>
            </w:pPr>
            <w:r>
              <w:t>Energijos skirstymo operatoriaus (ESO) išduotos P</w:t>
            </w:r>
            <w:r w:rsidRPr="00377358">
              <w:t>rijungimo sąlygos elektros įrenginių prijungimui</w:t>
            </w:r>
            <w:r w:rsidR="00057D3B">
              <w:t>.</w:t>
            </w:r>
          </w:p>
          <w:p w14:paraId="2E560B27" w14:textId="4B26F2C1" w:rsidR="009C720B" w:rsidRDefault="009C720B" w:rsidP="00593C86">
            <w:pPr>
              <w:pStyle w:val="ListParagraph"/>
              <w:numPr>
                <w:ilvl w:val="0"/>
                <w:numId w:val="14"/>
              </w:numPr>
              <w:spacing w:before="0" w:after="0" w:line="276" w:lineRule="auto"/>
              <w:jc w:val="both"/>
            </w:pPr>
            <w:r w:rsidRPr="005F4047">
              <w:t xml:space="preserve">elektromobilių įkrovimo prieigos techninė specifikacija, kurioje turi būti nurodyta, kad ji atitinka minimalius techninius </w:t>
            </w:r>
            <w:r w:rsidRPr="00EA4302">
              <w:t>reikalavimus</w:t>
            </w:r>
            <w:r w:rsidR="00943DEC" w:rsidRPr="00EA4302">
              <w:t>.</w:t>
            </w:r>
          </w:p>
          <w:p w14:paraId="562DD4CD" w14:textId="639D8DCE" w:rsidR="00A458FE" w:rsidRPr="00030678" w:rsidRDefault="00A458FE" w:rsidP="00CA0D3A">
            <w:pPr>
              <w:spacing w:before="0" w:after="0" w:line="276" w:lineRule="auto"/>
              <w:jc w:val="both"/>
            </w:pPr>
            <w:r w:rsidRPr="00030678">
              <w:t>Projekto vykdytojas kartu su</w:t>
            </w:r>
            <w:r w:rsidR="00812876">
              <w:t xml:space="preserve"> </w:t>
            </w:r>
            <w:r w:rsidR="00700A38" w:rsidRPr="00B40021">
              <w:t>mokėjimo prašymu</w:t>
            </w:r>
            <w:r w:rsidR="00812876" w:rsidRPr="00B40021">
              <w:rPr>
                <w:rStyle w:val="FootnoteReference"/>
              </w:rPr>
              <w:footnoteReference w:id="8"/>
            </w:r>
            <w:r w:rsidRPr="00B40021">
              <w:t xml:space="preserve"> </w:t>
            </w:r>
            <w:r w:rsidRPr="00030678">
              <w:t>administruojančiajai institucijai</w:t>
            </w:r>
            <w:r w:rsidR="00825CF2">
              <w:t xml:space="preserve"> </w:t>
            </w:r>
            <w:r w:rsidRPr="00030678">
              <w:t>teiks fiksuot</w:t>
            </w:r>
            <w:r w:rsidR="00CA0D3A">
              <w:t>ojo</w:t>
            </w:r>
            <w:r w:rsidRPr="00030678">
              <w:t xml:space="preserve"> vieneto įkaini</w:t>
            </w:r>
            <w:r w:rsidR="00CA0D3A">
              <w:t>o</w:t>
            </w:r>
            <w:r w:rsidRPr="00030678">
              <w:t xml:space="preserve"> rezultatą pagrindžiančius dokumentus, kurie kaupiami ir saugomi </w:t>
            </w:r>
            <w:r w:rsidR="005F0F4E">
              <w:t xml:space="preserve">administruojančios institucijos </w:t>
            </w:r>
            <w:r w:rsidRPr="00030678">
              <w:t xml:space="preserve">informacinėje </w:t>
            </w:r>
            <w:r w:rsidRPr="00030678">
              <w:lastRenderedPageBreak/>
              <w:t>sistemoje. Administruojančioji institucija tikrins, ar pasiekti fiksuot</w:t>
            </w:r>
            <w:r w:rsidR="00CA0D3A">
              <w:t>ojo</w:t>
            </w:r>
            <w:r w:rsidRPr="00030678">
              <w:t xml:space="preserve"> vieneto įkaini</w:t>
            </w:r>
            <w:r w:rsidR="00CA0D3A">
              <w:t>o</w:t>
            </w:r>
            <w:r w:rsidRPr="00030678">
              <w:t xml:space="preserve"> rezultatai. </w:t>
            </w:r>
          </w:p>
          <w:p w14:paraId="37498D8C" w14:textId="7F021F3E" w:rsidR="00174E86" w:rsidRPr="00030678" w:rsidRDefault="00CA0D3A" w:rsidP="00CA0D3A">
            <w:pPr>
              <w:spacing w:before="0" w:after="0" w:line="276" w:lineRule="auto"/>
              <w:jc w:val="both"/>
            </w:pPr>
            <w:r w:rsidRPr="002A7F65">
              <w:t xml:space="preserve">Projektų patikrų, duomenų ir dokumentų rinkimo bei saugojimo tvarka </w:t>
            </w:r>
            <w:r w:rsidRPr="004F7210">
              <w:t>vykdoma, laikantis nacionaliniuose teisės aktuose</w:t>
            </w:r>
            <w:r>
              <w:rPr>
                <w:rStyle w:val="FootnoteReference"/>
              </w:rPr>
              <w:footnoteReference w:id="9"/>
            </w:r>
            <w:r w:rsidRPr="004F7210">
              <w:t>, reglamentuojančiuose ES projektų įgyvendinimą,  nustatytų reikalavimų.</w:t>
            </w:r>
          </w:p>
        </w:tc>
      </w:tr>
      <w:tr w:rsidR="009C720B" w:rsidRPr="00D62DD8" w14:paraId="2982C17D" w14:textId="77777777" w:rsidTr="002B7493">
        <w:trPr>
          <w:trHeight w:val="851"/>
        </w:trPr>
        <w:tc>
          <w:tcPr>
            <w:tcW w:w="3417" w:type="dxa"/>
            <w:shd w:val="clear" w:color="auto" w:fill="auto"/>
            <w:vAlign w:val="center"/>
          </w:tcPr>
          <w:p w14:paraId="62163C7A" w14:textId="77777777" w:rsidR="009C720B" w:rsidRPr="00D62DD8" w:rsidRDefault="009C720B" w:rsidP="009C720B">
            <w:pPr>
              <w:spacing w:before="0" w:after="0" w:line="276" w:lineRule="auto"/>
            </w:pPr>
            <w:r>
              <w:lastRenderedPageBreak/>
              <w:t>11. Galimos žalingos paskatos, švelninimo priemonės</w:t>
            </w:r>
            <w:r w:rsidRPr="005404DF">
              <w:rPr>
                <w:rStyle w:val="FootnoteReference"/>
                <w:b w:val="0"/>
              </w:rPr>
              <w:footnoteReference w:id="10"/>
            </w:r>
            <w:r>
              <w:t xml:space="preserve"> ir apskaičiuotasis rizikos lygis (didelė / vidutinė / maža)</w:t>
            </w:r>
          </w:p>
        </w:tc>
        <w:tc>
          <w:tcPr>
            <w:tcW w:w="6124" w:type="dxa"/>
            <w:vAlign w:val="center"/>
          </w:tcPr>
          <w:p w14:paraId="37EA105E" w14:textId="3B234999" w:rsidR="009C720B" w:rsidRPr="00811FCD" w:rsidRDefault="00A33A05" w:rsidP="009C720B">
            <w:pPr>
              <w:spacing w:before="0" w:after="0" w:line="276" w:lineRule="auto"/>
              <w:jc w:val="both"/>
            </w:pPr>
            <w:r>
              <w:t xml:space="preserve">Nenumatoma. </w:t>
            </w:r>
          </w:p>
        </w:tc>
      </w:tr>
      <w:tr w:rsidR="009C720B" w:rsidRPr="00D62DD8" w14:paraId="0F4B30DF" w14:textId="77777777" w:rsidTr="002B7493">
        <w:trPr>
          <w:trHeight w:val="851"/>
        </w:trPr>
        <w:tc>
          <w:tcPr>
            <w:tcW w:w="3417" w:type="dxa"/>
            <w:shd w:val="clear" w:color="auto" w:fill="auto"/>
            <w:vAlign w:val="center"/>
          </w:tcPr>
          <w:p w14:paraId="1845A776" w14:textId="77777777" w:rsidR="009C720B" w:rsidRDefault="009C720B" w:rsidP="009C720B">
            <w:pPr>
              <w:spacing w:before="0" w:after="0" w:line="276" w:lineRule="auto"/>
            </w:pPr>
            <w:r w:rsidRPr="006F3328">
              <w:t>1</w:t>
            </w:r>
            <w:r>
              <w:t>2. Visa suma (nacionalinė ir ES), kurią, tikimasi, Komisija šiuo pagrindu atlygins</w:t>
            </w:r>
          </w:p>
        </w:tc>
        <w:tc>
          <w:tcPr>
            <w:tcW w:w="6124" w:type="dxa"/>
            <w:vAlign w:val="center"/>
          </w:tcPr>
          <w:p w14:paraId="4336258B" w14:textId="77777777" w:rsidR="009C720B" w:rsidRPr="00B33BF7" w:rsidRDefault="009C720B" w:rsidP="009C720B">
            <w:pPr>
              <w:spacing w:before="0" w:after="0" w:line="276" w:lineRule="auto"/>
              <w:jc w:val="both"/>
              <w:rPr>
                <w:noProof/>
              </w:rPr>
            </w:pPr>
            <w:r>
              <w:t>Netaikoma.</w:t>
            </w:r>
          </w:p>
        </w:tc>
      </w:tr>
    </w:tbl>
    <w:p w14:paraId="76772CBC" w14:textId="77777777" w:rsidR="008A6809" w:rsidRDefault="008A6809" w:rsidP="00B675E4">
      <w:pPr>
        <w:pStyle w:val="Point0"/>
        <w:spacing w:line="276" w:lineRule="auto"/>
        <w:ind w:left="567" w:hanging="567"/>
        <w:jc w:val="both"/>
        <w:rPr>
          <w:b/>
          <w:bCs/>
        </w:rPr>
      </w:pPr>
    </w:p>
    <w:p w14:paraId="29796FD0" w14:textId="6F67A6CE" w:rsidR="003E2292" w:rsidRPr="00214742" w:rsidRDefault="003E2292" w:rsidP="00B675E4">
      <w:pPr>
        <w:pStyle w:val="Point0"/>
        <w:spacing w:line="276" w:lineRule="auto"/>
        <w:ind w:left="567" w:hanging="567"/>
        <w:jc w:val="both"/>
        <w:rPr>
          <w:b/>
          <w:bCs/>
        </w:rPr>
      </w:pPr>
      <w:r w:rsidRPr="00214742">
        <w:rPr>
          <w:b/>
          <w:bCs/>
        </w:rPr>
        <w:t>C.</w:t>
      </w:r>
      <w:r w:rsidRPr="00214742">
        <w:rPr>
          <w:b/>
          <w:bCs/>
        </w:rPr>
        <w:tab/>
        <w:t>Fiksuotųjų vieneto įkainių, fiksuotųjų sumų arba fiksuotųjų normų apskaičiavimas</w:t>
      </w:r>
    </w:p>
    <w:p w14:paraId="32C357BA" w14:textId="77777777" w:rsidR="003E2292" w:rsidRPr="00D62DD8" w:rsidRDefault="003E2292" w:rsidP="00B675E4">
      <w:pPr>
        <w:pStyle w:val="Point0"/>
        <w:spacing w:line="276" w:lineRule="auto"/>
        <w:ind w:left="567" w:hanging="567"/>
        <w:jc w:val="both"/>
      </w:pPr>
      <w:r>
        <w:t>1.</w:t>
      </w:r>
      <w:r>
        <w:tab/>
        <w:t>Duomenų, pagal kuriuos apskaičiuojami fiksuotieji vieneto įkainiai, fiksuotosios sumos arba fiksuotosios normos, šaltinis (kas pateikė, surinko ir užregistravo duomenis; kur duomenys saugomi; ataskaitinių laikotarpių pabaigos datos; patvirtinimas ir pan.).</w:t>
      </w:r>
    </w:p>
    <w:tbl>
      <w:tblPr>
        <w:tblStyle w:val="TableGrid"/>
        <w:tblW w:w="0" w:type="auto"/>
        <w:tblLook w:val="04A0" w:firstRow="1" w:lastRow="0" w:firstColumn="1" w:lastColumn="0" w:noHBand="0" w:noVBand="1"/>
      </w:tblPr>
      <w:tblGrid>
        <w:gridCol w:w="9628"/>
      </w:tblGrid>
      <w:tr w:rsidR="003E2292" w:rsidRPr="00D62DD8" w14:paraId="57195977" w14:textId="77777777" w:rsidTr="00DA2983">
        <w:tc>
          <w:tcPr>
            <w:tcW w:w="9855" w:type="dxa"/>
          </w:tcPr>
          <w:p w14:paraId="7D64C836" w14:textId="2D5C65AF" w:rsidR="00A33A05" w:rsidRDefault="00A33A05" w:rsidP="001B552E">
            <w:pPr>
              <w:spacing w:line="240" w:lineRule="auto"/>
              <w:jc w:val="both"/>
            </w:pPr>
            <w:r w:rsidRPr="00AF0A6E">
              <w:t>Siekiant nustatyti fiksuotuosius vieneto įkainius, VšĮ Europos socialinio fondo agentūros Metodinės pagalbos skyrius (toliau – MPS) p</w:t>
            </w:r>
            <w:r w:rsidR="00CB53B4">
              <w:t>a</w:t>
            </w:r>
            <w:r w:rsidRPr="00AF0A6E">
              <w:t xml:space="preserve">rengė fiksuotųjų vieneto įkainių nustatymo </w:t>
            </w:r>
            <w:r>
              <w:t xml:space="preserve">tyrimą </w:t>
            </w:r>
            <w:r w:rsidRPr="00AF0A6E">
              <w:t xml:space="preserve"> ir</w:t>
            </w:r>
            <w:r w:rsidR="00FA2CDF">
              <w:t xml:space="preserve"> apskaičiavo </w:t>
            </w:r>
            <w:r w:rsidR="00152746">
              <w:t>viešųjų</w:t>
            </w:r>
            <w:r w:rsidR="00FA2CDF" w:rsidRPr="00FA2CDF">
              <w:t xml:space="preserve"> elektromobilių įkrovimo stotelių įsigijimo ir montavimo darbų išlaidų</w:t>
            </w:r>
            <w:r w:rsidR="00FA2CDF">
              <w:t xml:space="preserve"> </w:t>
            </w:r>
            <w:r w:rsidR="00FA2CDF" w:rsidRPr="00AF0A6E">
              <w:t>fiksuot</w:t>
            </w:r>
            <w:r w:rsidR="00FA2CDF">
              <w:t xml:space="preserve">uosius </w:t>
            </w:r>
            <w:r w:rsidR="00FA2CDF" w:rsidRPr="00AF0A6E">
              <w:t>vieneto įkain</w:t>
            </w:r>
            <w:r w:rsidR="00FA2CDF">
              <w:t xml:space="preserve">ius. </w:t>
            </w:r>
          </w:p>
          <w:p w14:paraId="0FABB34D" w14:textId="0E2990AC" w:rsidR="00FA2CDF" w:rsidRPr="00E13B55" w:rsidRDefault="00FA2CDF" w:rsidP="001B552E">
            <w:pPr>
              <w:spacing w:line="240" w:lineRule="auto"/>
              <w:jc w:val="both"/>
            </w:pPr>
            <w:r w:rsidRPr="00FA2CDF">
              <w:t>Visų pirma, buvo apibrėžta generalinė respondentų aibė (populiacija) – sudaryti rinkoje veikiančių juridinių asmenų sąrašai, atitinkantys nustatytus kriterijus. Įmonių paieška atlikta 202</w:t>
            </w:r>
            <w:r>
              <w:t>2</w:t>
            </w:r>
            <w:r w:rsidRPr="00FA2CDF">
              <w:t xml:space="preserve"> m. </w:t>
            </w:r>
            <w:r w:rsidR="0007120A">
              <w:t>rugsėjo</w:t>
            </w:r>
            <w:r w:rsidRPr="00FA2CDF">
              <w:t xml:space="preserve"> </w:t>
            </w:r>
            <w:r w:rsidR="0007120A">
              <w:t>20</w:t>
            </w:r>
            <w:r w:rsidRPr="002B2607">
              <w:t xml:space="preserve"> d.</w:t>
            </w:r>
            <w:r w:rsidRPr="00FA2CDF">
              <w:t xml:space="preserve"> naudojant raktinius paieškos žodžius „Elektromobilių įkrovimo stotelė“</w:t>
            </w:r>
            <w:r w:rsidR="002B2607">
              <w:t>.</w:t>
            </w:r>
            <w:r w:rsidRPr="00FA2CDF">
              <w:t xml:space="preserve"> Vykdant paiešką per </w:t>
            </w:r>
            <w:hyperlink r:id="rId10" w:history="1">
              <w:r w:rsidRPr="00FA2CDF">
                <w:rPr>
                  <w:color w:val="0563C1" w:themeColor="hyperlink"/>
                  <w:u w:val="single"/>
                </w:rPr>
                <w:t>www.rekvizitai.lt</w:t>
              </w:r>
            </w:hyperlink>
            <w:r w:rsidRPr="00FA2CDF">
              <w:t xml:space="preserve"> buvo identifikuot</w:t>
            </w:r>
            <w:r w:rsidR="002B2607">
              <w:t>i</w:t>
            </w:r>
            <w:r w:rsidRPr="00FA2CDF">
              <w:t xml:space="preserve"> </w:t>
            </w:r>
            <w:r w:rsidR="002B2607">
              <w:t xml:space="preserve">28 </w:t>
            </w:r>
            <w:r w:rsidRPr="00FA2CDF">
              <w:t>galim</w:t>
            </w:r>
            <w:r>
              <w:t>i</w:t>
            </w:r>
            <w:r w:rsidRPr="00FA2CDF">
              <w:t xml:space="preserve"> respondent</w:t>
            </w:r>
            <w:r>
              <w:t>ai</w:t>
            </w:r>
            <w:r w:rsidRPr="00FA2CDF">
              <w:t xml:space="preserve">. Papildomai įmonių, galinčių teikti elektromobilių įkrovimo stotelių pardavimo ir montavimo paslaugas, buvo ieškoma internete adresu </w:t>
            </w:r>
            <w:hyperlink r:id="rId11" w:history="1">
              <w:r w:rsidRPr="00FA2CDF">
                <w:rPr>
                  <w:color w:val="0563C1" w:themeColor="hyperlink"/>
                  <w:u w:val="single"/>
                </w:rPr>
                <w:t>www.google.lt</w:t>
              </w:r>
            </w:hyperlink>
            <w:r w:rsidRPr="00FA2CDF">
              <w:t xml:space="preserve">. </w:t>
            </w:r>
            <w:r w:rsidRPr="00E13B55">
              <w:t xml:space="preserve">Vykdant </w:t>
            </w:r>
            <w:r w:rsidR="009E4E5C" w:rsidRPr="00E13B55">
              <w:t xml:space="preserve">šią </w:t>
            </w:r>
            <w:r w:rsidRPr="00E13B55">
              <w:t>paiešką papildomai buvo identifikuotos 6 įmonės.</w:t>
            </w:r>
          </w:p>
          <w:p w14:paraId="490A5981" w14:textId="24D8B66A" w:rsidR="00FA2CDF" w:rsidRPr="00FA2CDF" w:rsidRDefault="00FA2CDF" w:rsidP="001B552E">
            <w:pPr>
              <w:spacing w:line="240" w:lineRule="auto"/>
              <w:jc w:val="both"/>
            </w:pPr>
            <w:r w:rsidRPr="00E13B55">
              <w:t>Atliekant tyrimą respondentus nuspręsta apklausti</w:t>
            </w:r>
            <w:r w:rsidR="002B2607" w:rsidRPr="00E13B55">
              <w:t xml:space="preserve"> per </w:t>
            </w:r>
            <w:r w:rsidR="00A63991" w:rsidRPr="00E13B55">
              <w:t xml:space="preserve">Susisiekimo </w:t>
            </w:r>
            <w:r w:rsidR="002B2607" w:rsidRPr="00E13B55">
              <w:t xml:space="preserve">ministeriją, </w:t>
            </w:r>
            <w:r w:rsidR="00A63991" w:rsidRPr="00E13B55">
              <w:t xml:space="preserve">kuri yra atsakinga už veiklų vykdymą, </w:t>
            </w:r>
            <w:r w:rsidR="002B2607" w:rsidRPr="00E13B55">
              <w:t>išsiunčiant tiekėjų apklausos formą raštu</w:t>
            </w:r>
            <w:r w:rsidRPr="00E13B55">
              <w:t>. Buvo sudaryta tiekėjų apklausos forma ir apklausa vykdoma 2022 m. spalio</w:t>
            </w:r>
            <w:r w:rsidRPr="00FA2CDF">
              <w:t xml:space="preserve"> </w:t>
            </w:r>
            <w:r>
              <w:t>20</w:t>
            </w:r>
            <w:r w:rsidRPr="00FA2CDF">
              <w:t xml:space="preserve"> d. </w:t>
            </w:r>
            <w:r w:rsidR="002C6954">
              <w:t>–</w:t>
            </w:r>
            <w:r w:rsidR="002C6954" w:rsidRPr="00FA2CDF">
              <w:t xml:space="preserve"> </w:t>
            </w:r>
            <w:r w:rsidRPr="00FA2CDF">
              <w:t>202</w:t>
            </w:r>
            <w:r>
              <w:t xml:space="preserve">2 </w:t>
            </w:r>
            <w:r w:rsidRPr="00FA2CDF">
              <w:t xml:space="preserve">m. </w:t>
            </w:r>
            <w:r>
              <w:t>gruodžio</w:t>
            </w:r>
            <w:r w:rsidRPr="00FA2CDF">
              <w:t xml:space="preserve"> </w:t>
            </w:r>
            <w:r>
              <w:t>12</w:t>
            </w:r>
            <w:r w:rsidRPr="00FA2CDF">
              <w:t xml:space="preserve"> d.</w:t>
            </w:r>
            <w:r w:rsidR="002C6954">
              <w:t xml:space="preserve"> laikotarpiu.</w:t>
            </w:r>
            <w:r w:rsidRPr="00FA2CDF">
              <w:t xml:space="preserve"> El. laiškai su tiekėjų apklausos forma buvo išsiųsti 2</w:t>
            </w:r>
            <w:r w:rsidR="004952BE">
              <w:t>9</w:t>
            </w:r>
            <w:r w:rsidRPr="00FA2CDF">
              <w:t xml:space="preserve"> respondentams iš</w:t>
            </w:r>
            <w:r w:rsidR="004952BE">
              <w:t xml:space="preserve"> 3</w:t>
            </w:r>
            <w:r w:rsidR="002B2607">
              <w:t>4</w:t>
            </w:r>
            <w:r w:rsidRPr="00FA2CDF">
              <w:t xml:space="preserve">, kadangi nebuvo pateikta </w:t>
            </w:r>
            <w:r w:rsidR="004952BE">
              <w:t>dviejų</w:t>
            </w:r>
            <w:r w:rsidRPr="00FA2CDF">
              <w:t xml:space="preserve"> respondent</w:t>
            </w:r>
            <w:r w:rsidR="004952BE">
              <w:t>ų</w:t>
            </w:r>
            <w:r w:rsidRPr="00FA2CDF">
              <w:t xml:space="preserve"> el. pašto </w:t>
            </w:r>
            <w:r w:rsidR="004952BE">
              <w:t xml:space="preserve">ir el. tinklapio adresų, taip pat </w:t>
            </w:r>
            <w:r w:rsidR="002B2607">
              <w:t xml:space="preserve">trijų </w:t>
            </w:r>
            <w:r w:rsidR="004952BE">
              <w:t xml:space="preserve">įmonių veiklos sritis neatitiko tyrimo objekto. 15 respondentų pateikė kainas, 1 respondentas atsisakė pateikti kainas, 13 respondentų atsakymų nepateikė. </w:t>
            </w:r>
          </w:p>
          <w:p w14:paraId="12237C62" w14:textId="5DB28191" w:rsidR="004952BE" w:rsidRPr="004952BE" w:rsidRDefault="004952BE" w:rsidP="001B552E">
            <w:pPr>
              <w:spacing w:line="240" w:lineRule="auto"/>
              <w:jc w:val="both"/>
            </w:pPr>
            <w:r w:rsidRPr="004952BE">
              <w:lastRenderedPageBreak/>
              <w:t>Remiantis Supaprastinto išlaidų apmokėjimo gairėmis</w:t>
            </w:r>
            <w:r w:rsidRPr="004952BE">
              <w:rPr>
                <w:b/>
                <w:vertAlign w:val="superscript"/>
              </w:rPr>
              <w:footnoteReference w:id="11"/>
            </w:r>
            <w:r w:rsidRPr="004952BE">
              <w:t xml:space="preserve"> ir moksline </w:t>
            </w:r>
            <w:r w:rsidRPr="00E13B55">
              <w:t>literatūra</w:t>
            </w:r>
            <w:r w:rsidR="001B40F5" w:rsidRPr="00E13B55">
              <w:rPr>
                <w:rStyle w:val="FootnoteReference"/>
              </w:rPr>
              <w:footnoteReference w:id="12"/>
            </w:r>
            <w:r w:rsidRPr="00E13B55">
              <w:t xml:space="preserve">, </w:t>
            </w:r>
            <w:r w:rsidRPr="004952BE">
              <w:t xml:space="preserve">nustatomas rekomenduojamas pasikliovimo lygmuo – 95 proc., statistinė paklaida – iki 10 proc. Todėl, kai populiaciją sudaro </w:t>
            </w:r>
            <w:r>
              <w:t>29</w:t>
            </w:r>
            <w:r w:rsidRPr="004952BE">
              <w:t xml:space="preserve"> tiekėj</w:t>
            </w:r>
            <w:r>
              <w:t>ai</w:t>
            </w:r>
            <w:r w:rsidRPr="004952BE">
              <w:t xml:space="preserve"> (respondent</w:t>
            </w:r>
            <w:r>
              <w:t>ai</w:t>
            </w:r>
            <w:r w:rsidRPr="004952BE">
              <w:t xml:space="preserve">), siekiant, kad rezultatų pasikliovimo lygmuo (tikimybė) būtų 95 proc. paklaidai neviršijant 10 proc., reikalinga apklausti imtis sudaro </w:t>
            </w:r>
            <w:r>
              <w:t>22</w:t>
            </w:r>
            <w:r w:rsidRPr="004952BE">
              <w:t xml:space="preserve"> respondent</w:t>
            </w:r>
            <w:r>
              <w:t>us</w:t>
            </w:r>
            <w:r w:rsidRPr="004952BE">
              <w:t xml:space="preserve">. Tokiu atveju su 95 proc. tikimybe galima </w:t>
            </w:r>
            <w:r>
              <w:t xml:space="preserve">būtų </w:t>
            </w:r>
            <w:r w:rsidRPr="004952BE">
              <w:t xml:space="preserve">teigti, kad, rezultatas, apskaičiuotas surinkus duomenis iš </w:t>
            </w:r>
            <w:r>
              <w:t xml:space="preserve">22 </w:t>
            </w:r>
            <w:r w:rsidRPr="004952BE">
              <w:t>respondentų, su 10 proc. paklaida</w:t>
            </w:r>
            <w:r w:rsidR="00037875">
              <w:t>,</w:t>
            </w:r>
            <w:r w:rsidRPr="004952BE">
              <w:t xml:space="preserve"> atitiks rezultatą, kuris būtų gautas surinkus duomenis iš visos populiacijos.</w:t>
            </w:r>
          </w:p>
          <w:p w14:paraId="76676CC0" w14:textId="17411B89" w:rsidR="004952BE" w:rsidRPr="004952BE" w:rsidRDefault="00D4601F" w:rsidP="001B552E">
            <w:pPr>
              <w:spacing w:line="240" w:lineRule="auto"/>
              <w:jc w:val="both"/>
            </w:pPr>
            <w:r w:rsidRPr="00D4601F">
              <w:t xml:space="preserve">Visos tyrimo imties (29 įmonių) pardavimo pajamos 2020 / 2021 m. sudarė apie 366 946 294 Eur, tuo tarpu atsakiusių ir kainas pateikusių įmonių pardavimo pajamos sudarė apie 309 717 404 Eur. Kadangi atsakiusių įmonių pardavimo pajamų dalis yra net 84,4 proc. nuo visos tyrimo imties, galima teigti, kad atsakymai gauti iš didžiosios dalies tyrime dalyvavusių šia veikla užsiimančių įmonių (apklausta didžioji rinkos dalis), o tyrimo imtis yra pakankama. </w:t>
            </w:r>
            <w:r w:rsidR="004952BE" w:rsidRPr="004952BE">
              <w:t xml:space="preserve">Detalūs skaičiavimai pateikti </w:t>
            </w:r>
            <w:r>
              <w:t>2</w:t>
            </w:r>
            <w:r w:rsidR="004952BE" w:rsidRPr="004952BE">
              <w:t xml:space="preserve"> priede. </w:t>
            </w:r>
          </w:p>
          <w:p w14:paraId="04449BCA" w14:textId="10466065" w:rsidR="009C720B" w:rsidRPr="00BE6319" w:rsidRDefault="004952BE" w:rsidP="001B552E">
            <w:pPr>
              <w:spacing w:line="240" w:lineRule="auto"/>
              <w:jc w:val="both"/>
            </w:pPr>
            <w:r w:rsidRPr="004952BE">
              <w:t xml:space="preserve">Bendrai surinkta informacija apie tyrimo metu nagrinėjamus produktus sudarė </w:t>
            </w:r>
            <w:r w:rsidR="002B2607">
              <w:t>137</w:t>
            </w:r>
            <w:r w:rsidR="002B2607" w:rsidRPr="004952BE">
              <w:t xml:space="preserve"> </w:t>
            </w:r>
            <w:r w:rsidRPr="004952BE">
              <w:t>įrašus (</w:t>
            </w:r>
            <w:r w:rsidR="00875EDD" w:rsidRPr="00875EDD">
              <w:t>5–8</w:t>
            </w:r>
            <w:r w:rsidRPr="004952BE">
              <w:t xml:space="preserve"> prieda</w:t>
            </w:r>
            <w:r w:rsidR="00D4601F" w:rsidRPr="00875EDD">
              <w:t>i</w:t>
            </w:r>
            <w:r w:rsidRPr="004952BE">
              <w:t xml:space="preserve">). Apklausos metu surinkti pirminiai duomenys </w:t>
            </w:r>
            <w:r w:rsidR="00D4601F">
              <w:t xml:space="preserve">ir visa su </w:t>
            </w:r>
            <w:r w:rsidR="00D4601F" w:rsidRPr="00730E8D">
              <w:t xml:space="preserve">tyrimu susijusi informacija saugoma </w:t>
            </w:r>
            <w:r w:rsidRPr="004952BE">
              <w:t>MPS informacinėje sistemoje.</w:t>
            </w:r>
          </w:p>
        </w:tc>
      </w:tr>
    </w:tbl>
    <w:p w14:paraId="4E5EEEA2" w14:textId="77777777" w:rsidR="003367C7" w:rsidRDefault="003367C7" w:rsidP="00B675E4">
      <w:pPr>
        <w:pStyle w:val="Point0"/>
        <w:spacing w:line="276" w:lineRule="auto"/>
        <w:ind w:left="567" w:hanging="567"/>
        <w:jc w:val="both"/>
      </w:pPr>
    </w:p>
    <w:p w14:paraId="083BA719" w14:textId="4EA9423D" w:rsidR="003E2292" w:rsidRPr="00D62DD8" w:rsidRDefault="003E2292" w:rsidP="00B675E4">
      <w:pPr>
        <w:pStyle w:val="Point0"/>
        <w:spacing w:line="276" w:lineRule="auto"/>
        <w:ind w:left="567" w:hanging="567"/>
        <w:jc w:val="both"/>
      </w:pPr>
      <w:r>
        <w:t>2.</w:t>
      </w:r>
      <w:r>
        <w:tab/>
      </w:r>
      <w:r w:rsidRPr="00B61319">
        <w:t>Nurodykite, kodėl siūlomas metodas ir skaičiavimas, grindžiami 94 straipsnio 2 dalimi, tinka veiksmo rūšiai.</w:t>
      </w:r>
    </w:p>
    <w:tbl>
      <w:tblPr>
        <w:tblStyle w:val="TableGrid"/>
        <w:tblW w:w="0" w:type="auto"/>
        <w:tblLook w:val="04A0" w:firstRow="1" w:lastRow="0" w:firstColumn="1" w:lastColumn="0" w:noHBand="0" w:noVBand="1"/>
      </w:tblPr>
      <w:tblGrid>
        <w:gridCol w:w="9628"/>
      </w:tblGrid>
      <w:tr w:rsidR="003E2292" w:rsidRPr="00D62DD8" w14:paraId="64658096" w14:textId="77777777" w:rsidTr="00DA2983">
        <w:tc>
          <w:tcPr>
            <w:tcW w:w="9855" w:type="dxa"/>
          </w:tcPr>
          <w:p w14:paraId="127D1A45" w14:textId="3CEC5038" w:rsidR="00D3271E" w:rsidRPr="006F356F" w:rsidRDefault="00F925CD" w:rsidP="00B06F35">
            <w:pPr>
              <w:spacing w:before="0" w:line="240" w:lineRule="auto"/>
              <w:jc w:val="both"/>
              <w:rPr>
                <w:szCs w:val="24"/>
              </w:rPr>
            </w:pPr>
            <w:r w:rsidRPr="00504A71">
              <w:rPr>
                <w:bCs/>
              </w:rPr>
              <w:t xml:space="preserve">Ši metodika tinka konkrečiai veiksmo rūšiai, nes tyrimas atliktas rinkos kainų analizės pagrindu ir užtikrina rezultatų patikimumą; taip </w:t>
            </w:r>
            <w:r w:rsidRPr="005F4047">
              <w:rPr>
                <w:bCs/>
              </w:rPr>
              <w:t>pat išnagrinėti nacionaliniai teisės aktai, susiję su tyrimo problematika ir analizuojamu objektu, kurie yra paminėti 3 dalyje. Jokių istorinių duomenų apie priemones, kuriose buvo finansuoti tapatūs objektai, nebuvo.</w:t>
            </w:r>
          </w:p>
        </w:tc>
      </w:tr>
    </w:tbl>
    <w:p w14:paraId="774544E3" w14:textId="77777777" w:rsidR="00EA4302" w:rsidRDefault="00EA4302" w:rsidP="00FE57DD">
      <w:pPr>
        <w:spacing w:before="0" w:after="160" w:line="259" w:lineRule="auto"/>
        <w:jc w:val="both"/>
      </w:pPr>
    </w:p>
    <w:p w14:paraId="2502EB30" w14:textId="4D815FCE" w:rsidR="006E26CA" w:rsidRDefault="006E26CA" w:rsidP="00FE57DD">
      <w:pPr>
        <w:spacing w:before="0" w:after="160" w:line="259" w:lineRule="auto"/>
        <w:jc w:val="both"/>
      </w:pPr>
      <w:r>
        <w:t>3.</w:t>
      </w:r>
      <w:r>
        <w:tab/>
        <w:t xml:space="preserve">Nurodykite, kaip atlikti skaičiavimai, visų pirma pateikite visas darytas prielaidas dėl kokybės arba kiekio. Kai aktualu, reikėtų naudotis statistiniais duomenimis ir lyginamaisiais standartais ir juos pateikti (jei jų buvo paprašyta) tokiu formatu, kurį Komisija galėtų naudoti. </w:t>
      </w:r>
    </w:p>
    <w:tbl>
      <w:tblPr>
        <w:tblStyle w:val="TableGrid"/>
        <w:tblW w:w="0" w:type="auto"/>
        <w:tblLook w:val="04A0" w:firstRow="1" w:lastRow="0" w:firstColumn="1" w:lastColumn="0" w:noHBand="0" w:noVBand="1"/>
      </w:tblPr>
      <w:tblGrid>
        <w:gridCol w:w="9628"/>
      </w:tblGrid>
      <w:tr w:rsidR="003E2292" w:rsidRPr="00D62DD8" w14:paraId="4545C65C" w14:textId="77777777" w:rsidTr="008C016D">
        <w:trPr>
          <w:trHeight w:val="552"/>
        </w:trPr>
        <w:tc>
          <w:tcPr>
            <w:tcW w:w="9628" w:type="dxa"/>
            <w:vAlign w:val="center"/>
          </w:tcPr>
          <w:p w14:paraId="63F6585D" w14:textId="418D99EF" w:rsidR="00943DEC" w:rsidRDefault="00943DEC" w:rsidP="002B2607">
            <w:pPr>
              <w:spacing w:line="240" w:lineRule="auto"/>
              <w:jc w:val="both"/>
            </w:pPr>
            <w:r w:rsidRPr="00943DEC">
              <w:t>Visų pirma, buvo išanalizuota teisinė bazė, reglamentuojanti elektromobilių įkrovimo prieigų įrengimo Lietuvos Respublikoje sąlygas bei kiti teisės aktai</w:t>
            </w:r>
            <w:r w:rsidR="00387B74" w:rsidRPr="00943DEC">
              <w:rPr>
                <w:b/>
                <w:vertAlign w:val="superscript"/>
              </w:rPr>
              <w:footnoteReference w:id="13"/>
            </w:r>
            <w:r w:rsidRPr="00943DEC">
              <w:t xml:space="preserve">, svarbūs šiam tyrimui. </w:t>
            </w:r>
          </w:p>
          <w:p w14:paraId="0038FB02" w14:textId="0B754AB7" w:rsidR="00943DEC" w:rsidRDefault="00943DEC" w:rsidP="002B2607">
            <w:pPr>
              <w:spacing w:line="240" w:lineRule="auto"/>
              <w:jc w:val="both"/>
            </w:pPr>
            <w:r>
              <w:t xml:space="preserve">Tyrimo objektas </w:t>
            </w:r>
            <w:r w:rsidR="003F4AF9">
              <w:t xml:space="preserve">– </w:t>
            </w:r>
            <w:r>
              <w:t>keturių skirtingų tipų viešųjų elektromobilių įkrovimo prieigos:</w:t>
            </w:r>
          </w:p>
          <w:p w14:paraId="595EDAA9" w14:textId="7FF2F54A" w:rsidR="00943DEC" w:rsidRDefault="00943DEC" w:rsidP="002B2607">
            <w:pPr>
              <w:pStyle w:val="ListParagraph"/>
              <w:numPr>
                <w:ilvl w:val="0"/>
                <w:numId w:val="16"/>
              </w:numPr>
              <w:spacing w:line="240" w:lineRule="auto"/>
              <w:jc w:val="both"/>
            </w:pPr>
            <w:r w:rsidRPr="00943DEC">
              <w:rPr>
                <w:b/>
                <w:bCs/>
              </w:rPr>
              <w:t>Elektromobilių įprastos galios įkrovimo prieiga</w:t>
            </w:r>
            <w:r w:rsidRPr="00943DEC">
              <w:t xml:space="preserve"> – elektromobilių įkrovimo prieiga, kurios elektromobiliui perduodama elektrinė galia yra ne didesnė kaip 22 kW, išskyrus ne didesnės kaip 3,7 kW galios vienos fazės elektros įrenginius, kurie įrengti privačiuose namų ūkiuose arba kurių pirminė paskirtis nėra elektromobilių įkrovimas ir kurie nėra viešai prieinami.</w:t>
            </w:r>
          </w:p>
          <w:p w14:paraId="26B90308" w14:textId="2BACC943" w:rsidR="00943DEC" w:rsidRDefault="00943DEC" w:rsidP="002B2607">
            <w:pPr>
              <w:pStyle w:val="ListParagraph"/>
              <w:numPr>
                <w:ilvl w:val="0"/>
                <w:numId w:val="16"/>
              </w:numPr>
              <w:spacing w:line="240" w:lineRule="auto"/>
              <w:jc w:val="both"/>
            </w:pPr>
            <w:r w:rsidRPr="00943DEC">
              <w:rPr>
                <w:b/>
                <w:bCs/>
              </w:rPr>
              <w:lastRenderedPageBreak/>
              <w:t>Elektromobilių vidutinės galios įkrovimo prieiga</w:t>
            </w:r>
            <w:r w:rsidRPr="00943DEC">
              <w:t xml:space="preserve"> – elektromobilių įkrovimo prieiga, kurios elektromobiliui perduodama elektrinė galia yra didesnė kaip 22 kW, bet ne didesnė kaip 49 kW.</w:t>
            </w:r>
          </w:p>
          <w:p w14:paraId="1EB1C6B7" w14:textId="2D5A5561" w:rsidR="00387B74" w:rsidRDefault="00387B74" w:rsidP="002B2607">
            <w:pPr>
              <w:pStyle w:val="ListParagraph"/>
              <w:numPr>
                <w:ilvl w:val="0"/>
                <w:numId w:val="16"/>
              </w:numPr>
              <w:spacing w:line="240" w:lineRule="auto"/>
              <w:jc w:val="both"/>
            </w:pPr>
            <w:r w:rsidRPr="00387B74">
              <w:rPr>
                <w:b/>
                <w:bCs/>
              </w:rPr>
              <w:t>Elektromobilių didelės galios įkrovimo prieiga</w:t>
            </w:r>
            <w:r w:rsidRPr="00387B74">
              <w:t xml:space="preserve"> – elektromobilių įkrovimo prieiga, kurios elektromobiliui perduodama elektrinė galia yra didesnė kaip 49 kW, bet ne didesnė kaip 149 kW.</w:t>
            </w:r>
          </w:p>
          <w:p w14:paraId="65DE630A" w14:textId="1485E133" w:rsidR="00387B74" w:rsidRDefault="00387B74" w:rsidP="002B2607">
            <w:pPr>
              <w:pStyle w:val="ListParagraph"/>
              <w:numPr>
                <w:ilvl w:val="0"/>
                <w:numId w:val="16"/>
              </w:numPr>
              <w:spacing w:line="240" w:lineRule="auto"/>
              <w:jc w:val="both"/>
            </w:pPr>
            <w:r>
              <w:rPr>
                <w:b/>
                <w:bCs/>
                <w:color w:val="000000"/>
              </w:rPr>
              <w:t>Elektromobilių labai didelės galios įkrovimo prieiga</w:t>
            </w:r>
            <w:r>
              <w:rPr>
                <w:color w:val="000000"/>
              </w:rPr>
              <w:t> – elektromobilių įkrovimo prieiga, kurios elektromobiliui perduodama elektrinė galia yra didesnė kaip 149 kW.</w:t>
            </w:r>
          </w:p>
          <w:p w14:paraId="554D6745" w14:textId="6A8032C1" w:rsidR="00943DEC" w:rsidRDefault="00943DEC" w:rsidP="002B2607">
            <w:pPr>
              <w:spacing w:line="240" w:lineRule="auto"/>
              <w:jc w:val="both"/>
            </w:pPr>
            <w:r w:rsidRPr="00943DEC">
              <w:t xml:space="preserve">Remiantis teisės </w:t>
            </w:r>
            <w:r w:rsidRPr="00E13B55">
              <w:t xml:space="preserve">aktuose </w:t>
            </w:r>
            <w:r w:rsidR="00E31306" w:rsidRPr="00E13B55">
              <w:t xml:space="preserve">(Alternatyvių degalų įstatymas, Elektros įrenginių įrengimo bendrosios taisyklės, Elektromobilių naudojimo ir elektromobilių įkrovimo infrastruktūros plėtros veiksmų planas) </w:t>
            </w:r>
            <w:r w:rsidR="00D65C30" w:rsidRPr="00E13B55">
              <w:t xml:space="preserve">ir Europos Sąjungos standartuose </w:t>
            </w:r>
            <w:r w:rsidRPr="00943DEC">
              <w:t xml:space="preserve">nustatytais reikalavimais, buvo apibrėžti minimalūs techniniai </w:t>
            </w:r>
            <w:r>
              <w:t xml:space="preserve">viešųjų </w:t>
            </w:r>
            <w:r w:rsidRPr="00943DEC">
              <w:t>elektromobilių įkrovimo prieigų įrengimo reikalavimai:</w:t>
            </w:r>
          </w:p>
          <w:p w14:paraId="4AC76AA1" w14:textId="516E4BD6" w:rsidR="00387B74" w:rsidRDefault="00387B74" w:rsidP="002B2607">
            <w:pPr>
              <w:pStyle w:val="ListParagraph"/>
              <w:numPr>
                <w:ilvl w:val="0"/>
                <w:numId w:val="17"/>
              </w:numPr>
              <w:spacing w:line="240" w:lineRule="auto"/>
              <w:jc w:val="both"/>
            </w:pPr>
            <w:r>
              <w:t xml:space="preserve">Elektromobilių įkrovimo prieigos, išskyrus belaidžius arba induktyviuosius įrenginius, turi atitikti Lietuvos ir Europos patvirtintuose standartuose numatytus reikalavimus dėl transporto priemonių jungčių, įvadų ir matmenų suderinamumo </w:t>
            </w:r>
            <w:r w:rsidR="002C6954">
              <w:t xml:space="preserve">bei </w:t>
            </w:r>
            <w:proofErr w:type="spellStart"/>
            <w:r>
              <w:t>sukeičiamumo</w:t>
            </w:r>
            <w:proofErr w:type="spellEnd"/>
            <w:r>
              <w:t>.</w:t>
            </w:r>
          </w:p>
          <w:p w14:paraId="5F527A3A" w14:textId="0F603334" w:rsidR="00387B74" w:rsidRDefault="00387B74" w:rsidP="002B2607">
            <w:pPr>
              <w:pStyle w:val="ListParagraph"/>
              <w:numPr>
                <w:ilvl w:val="0"/>
                <w:numId w:val="17"/>
              </w:numPr>
              <w:spacing w:line="240" w:lineRule="auto"/>
              <w:jc w:val="both"/>
            </w:pPr>
            <w:r>
              <w:t xml:space="preserve">Jei elektromobilių įkrovimo stotelė turi keletą jungčių (pvz. </w:t>
            </w:r>
            <w:r w:rsidRPr="00387B74">
              <w:rPr>
                <w:i/>
                <w:iCs/>
              </w:rPr>
              <w:t>Type 2</w:t>
            </w:r>
            <w:r>
              <w:t xml:space="preserve">, </w:t>
            </w:r>
            <w:proofErr w:type="spellStart"/>
            <w:r w:rsidRPr="00387B74">
              <w:rPr>
                <w:i/>
                <w:iCs/>
              </w:rPr>
              <w:t>Combo</w:t>
            </w:r>
            <w:proofErr w:type="spellEnd"/>
            <w:r w:rsidRPr="00387B74">
              <w:rPr>
                <w:i/>
                <w:iCs/>
              </w:rPr>
              <w:t xml:space="preserve"> 2</w:t>
            </w:r>
            <w:r>
              <w:t xml:space="preserve">, </w:t>
            </w:r>
            <w:proofErr w:type="spellStart"/>
            <w:r w:rsidRPr="00387B74">
              <w:rPr>
                <w:i/>
                <w:iCs/>
              </w:rPr>
              <w:t>CHAdeMO</w:t>
            </w:r>
            <w:proofErr w:type="spellEnd"/>
            <w:r>
              <w:t xml:space="preserve"> ir kt. jungtis), bent viena jų privalo atitikti patvirtintus ES standartus:</w:t>
            </w:r>
          </w:p>
          <w:p w14:paraId="2068AE7B" w14:textId="67E22AF2" w:rsidR="00387B74" w:rsidRDefault="00387B74" w:rsidP="002B2607">
            <w:pPr>
              <w:pStyle w:val="ListParagraph"/>
              <w:numPr>
                <w:ilvl w:val="0"/>
                <w:numId w:val="18"/>
              </w:numPr>
              <w:spacing w:line="240" w:lineRule="auto"/>
              <w:jc w:val="both"/>
            </w:pPr>
            <w:r>
              <w:t>Įkrovimo prieigose iki 22 kW turi būti įrengiamos 2 tipo (</w:t>
            </w:r>
            <w:r w:rsidRPr="00387B74">
              <w:rPr>
                <w:i/>
                <w:iCs/>
              </w:rPr>
              <w:t>Type 2</w:t>
            </w:r>
            <w:r>
              <w:t xml:space="preserve">) jungtys, </w:t>
            </w:r>
            <w:r w:rsidR="002C6954">
              <w:t xml:space="preserve">atitinkančios </w:t>
            </w:r>
            <w:r>
              <w:t>standartą EN 62196-2:2017;</w:t>
            </w:r>
          </w:p>
          <w:p w14:paraId="3B68F677" w14:textId="007310F1" w:rsidR="00677D2B" w:rsidRDefault="00387B74" w:rsidP="002B2607">
            <w:pPr>
              <w:pStyle w:val="ListParagraph"/>
              <w:numPr>
                <w:ilvl w:val="0"/>
                <w:numId w:val="18"/>
              </w:numPr>
              <w:spacing w:line="240" w:lineRule="auto"/>
              <w:jc w:val="both"/>
            </w:pPr>
            <w:r>
              <w:t xml:space="preserve">Įkrovimo prieigose </w:t>
            </w:r>
            <w:r w:rsidRPr="00E13B55">
              <w:t xml:space="preserve">virš </w:t>
            </w:r>
            <w:r w:rsidR="00FB265C" w:rsidRPr="00E13B55">
              <w:t>49</w:t>
            </w:r>
            <w:r w:rsidRPr="00E13B55">
              <w:t xml:space="preserve"> kW </w:t>
            </w:r>
            <w:r>
              <w:t xml:space="preserve">turi būti įrengiamos </w:t>
            </w:r>
            <w:proofErr w:type="spellStart"/>
            <w:r w:rsidRPr="00387B74">
              <w:rPr>
                <w:i/>
                <w:iCs/>
              </w:rPr>
              <w:t>Combo</w:t>
            </w:r>
            <w:proofErr w:type="spellEnd"/>
            <w:r w:rsidRPr="00387B74">
              <w:rPr>
                <w:i/>
                <w:iCs/>
              </w:rPr>
              <w:t xml:space="preserve"> 2</w:t>
            </w:r>
            <w:r>
              <w:t xml:space="preserve"> jungtys, atitinkančios standartą EN 62196-3:2014.</w:t>
            </w:r>
          </w:p>
          <w:p w14:paraId="4B16CF4C" w14:textId="3EA65348" w:rsidR="00387B74" w:rsidRDefault="00387B74" w:rsidP="002B2607">
            <w:pPr>
              <w:pStyle w:val="ListParagraph"/>
              <w:numPr>
                <w:ilvl w:val="0"/>
                <w:numId w:val="17"/>
              </w:numPr>
              <w:spacing w:line="240" w:lineRule="auto"/>
              <w:jc w:val="both"/>
            </w:pPr>
            <w:r>
              <w:t>Įrengiant elektromobilių įkrovimo prieigas lauke arba atvirose vietose be sienų ar stogo, įrengiamos prieigos turi atitikti nežemesnę kaip IP-54 atsparumo dulkėms ir drėgmei klasę.</w:t>
            </w:r>
          </w:p>
          <w:p w14:paraId="2AE448F8" w14:textId="77777777" w:rsidR="00387B74" w:rsidRDefault="00387B74" w:rsidP="002B2607">
            <w:pPr>
              <w:pStyle w:val="ListParagraph"/>
              <w:numPr>
                <w:ilvl w:val="0"/>
                <w:numId w:val="17"/>
              </w:numPr>
              <w:spacing w:line="240" w:lineRule="auto"/>
              <w:jc w:val="both"/>
            </w:pPr>
            <w:r>
              <w:t>Įrengiant elektromobilių įkrovimo prieigas, kurios nėra montuojamos ant sienos, o yra statomos ant žemės, prieigos turi atitikti ne žemesnę kaip IK-8 atsparumo smūgiams klasę.</w:t>
            </w:r>
          </w:p>
          <w:p w14:paraId="3696383D" w14:textId="76FD89BE" w:rsidR="00387B74" w:rsidRDefault="00387B74" w:rsidP="002B2607">
            <w:pPr>
              <w:spacing w:line="240" w:lineRule="auto"/>
              <w:jc w:val="both"/>
              <w:rPr>
                <w:bCs/>
              </w:rPr>
            </w:pPr>
            <w:r w:rsidRPr="0069718E">
              <w:rPr>
                <w:bCs/>
              </w:rPr>
              <w:t xml:space="preserve">Toliau </w:t>
            </w:r>
            <w:r>
              <w:rPr>
                <w:bCs/>
              </w:rPr>
              <w:t xml:space="preserve">buvo </w:t>
            </w:r>
            <w:r w:rsidRPr="0069718E">
              <w:rPr>
                <w:bCs/>
              </w:rPr>
              <w:t>nustatytos tyrimo prielaidos, parengta apklausos duomenų rinkimo forma bei atlikta rinkos kainų analizė</w:t>
            </w:r>
            <w:r>
              <w:rPr>
                <w:bCs/>
              </w:rPr>
              <w:t xml:space="preserve">, </w:t>
            </w:r>
            <w:r w:rsidRPr="005F4047">
              <w:rPr>
                <w:bCs/>
              </w:rPr>
              <w:t>duomenų tvarkymas ir skaičiavimai.</w:t>
            </w:r>
            <w:r>
              <w:rPr>
                <w:bCs/>
              </w:rPr>
              <w:t xml:space="preserve"> </w:t>
            </w:r>
            <w:r w:rsidRPr="00387B74">
              <w:rPr>
                <w:bCs/>
              </w:rPr>
              <w:t>Parengta apklausos forma buvo išsiųsta potencialiems tiekėjams</w:t>
            </w:r>
            <w:r w:rsidR="002B2607">
              <w:rPr>
                <w:bCs/>
              </w:rPr>
              <w:t xml:space="preserve"> atsakingos ministerijos raštu</w:t>
            </w:r>
            <w:r w:rsidRPr="00387B74">
              <w:rPr>
                <w:bCs/>
              </w:rPr>
              <w:t xml:space="preserve"> ir jų buvo prašoma pateikti šiuos duomenis:</w:t>
            </w:r>
            <w:r>
              <w:rPr>
                <w:bCs/>
              </w:rPr>
              <w:t xml:space="preserve"> </w:t>
            </w:r>
          </w:p>
          <w:p w14:paraId="437AFBB2" w14:textId="1E68905C" w:rsidR="00387B74" w:rsidRDefault="00387B74" w:rsidP="002B2607">
            <w:pPr>
              <w:pStyle w:val="ListParagraph"/>
              <w:numPr>
                <w:ilvl w:val="0"/>
                <w:numId w:val="19"/>
              </w:numPr>
              <w:spacing w:line="240" w:lineRule="auto"/>
              <w:jc w:val="both"/>
              <w:rPr>
                <w:bCs/>
              </w:rPr>
            </w:pPr>
            <w:r>
              <w:rPr>
                <w:bCs/>
              </w:rPr>
              <w:t>e</w:t>
            </w:r>
            <w:r w:rsidRPr="00387B74">
              <w:rPr>
                <w:bCs/>
              </w:rPr>
              <w:t>lektromobilių įkrovimo stotelės modelis</w:t>
            </w:r>
            <w:r>
              <w:rPr>
                <w:bCs/>
              </w:rPr>
              <w:t>;</w:t>
            </w:r>
          </w:p>
          <w:p w14:paraId="778D8226" w14:textId="77777777" w:rsidR="00387B74" w:rsidRDefault="00387B74" w:rsidP="002B2607">
            <w:pPr>
              <w:pStyle w:val="ListParagraph"/>
              <w:numPr>
                <w:ilvl w:val="0"/>
                <w:numId w:val="19"/>
              </w:numPr>
              <w:spacing w:line="240" w:lineRule="auto"/>
              <w:jc w:val="both"/>
              <w:rPr>
                <w:bCs/>
              </w:rPr>
            </w:pPr>
            <w:r>
              <w:rPr>
                <w:bCs/>
              </w:rPr>
              <w:t>e</w:t>
            </w:r>
            <w:r w:rsidRPr="00387B74">
              <w:rPr>
                <w:bCs/>
              </w:rPr>
              <w:t>lektromobilių įkrovimo stotelės prieigų skaičius</w:t>
            </w:r>
            <w:r>
              <w:rPr>
                <w:bCs/>
              </w:rPr>
              <w:t>;</w:t>
            </w:r>
          </w:p>
          <w:p w14:paraId="0E83A91B" w14:textId="77777777" w:rsidR="00387B74" w:rsidRDefault="00387B74" w:rsidP="002B2607">
            <w:pPr>
              <w:pStyle w:val="ListParagraph"/>
              <w:numPr>
                <w:ilvl w:val="0"/>
                <w:numId w:val="19"/>
              </w:numPr>
              <w:spacing w:line="240" w:lineRule="auto"/>
              <w:jc w:val="both"/>
              <w:rPr>
                <w:bCs/>
              </w:rPr>
            </w:pPr>
            <w:r>
              <w:rPr>
                <w:bCs/>
              </w:rPr>
              <w:t>e</w:t>
            </w:r>
            <w:r w:rsidRPr="00387B74">
              <w:rPr>
                <w:bCs/>
              </w:rPr>
              <w:t>lektromobilių įkrovimo prieigos(-ų) galia</w:t>
            </w:r>
            <w:r>
              <w:rPr>
                <w:bCs/>
              </w:rPr>
              <w:t>;</w:t>
            </w:r>
          </w:p>
          <w:p w14:paraId="5D70CD3C" w14:textId="77777777" w:rsidR="00387B74" w:rsidRDefault="00387B74" w:rsidP="002B2607">
            <w:pPr>
              <w:pStyle w:val="ListParagraph"/>
              <w:numPr>
                <w:ilvl w:val="0"/>
                <w:numId w:val="19"/>
              </w:numPr>
              <w:spacing w:line="240" w:lineRule="auto"/>
              <w:jc w:val="both"/>
              <w:rPr>
                <w:bCs/>
              </w:rPr>
            </w:pPr>
            <w:r>
              <w:rPr>
                <w:bCs/>
              </w:rPr>
              <w:t>e</w:t>
            </w:r>
            <w:r w:rsidRPr="00387B74">
              <w:rPr>
                <w:bCs/>
              </w:rPr>
              <w:t>lektromobilių įkrovimo stotelės pardavimo kaina, Eur (be PVM</w:t>
            </w:r>
            <w:r>
              <w:rPr>
                <w:bCs/>
              </w:rPr>
              <w:t>);</w:t>
            </w:r>
          </w:p>
          <w:p w14:paraId="2A6D538E" w14:textId="77777777" w:rsidR="00387B74" w:rsidRDefault="00387B74" w:rsidP="002B2607">
            <w:pPr>
              <w:pStyle w:val="ListParagraph"/>
              <w:numPr>
                <w:ilvl w:val="0"/>
                <w:numId w:val="19"/>
              </w:numPr>
              <w:spacing w:line="240" w:lineRule="auto"/>
              <w:jc w:val="both"/>
              <w:rPr>
                <w:bCs/>
              </w:rPr>
            </w:pPr>
            <w:r>
              <w:rPr>
                <w:bCs/>
              </w:rPr>
              <w:t>e</w:t>
            </w:r>
            <w:r w:rsidRPr="00387B74">
              <w:rPr>
                <w:bCs/>
              </w:rPr>
              <w:t>lektromobilių įkrovimo prieigos montavimo vieta</w:t>
            </w:r>
            <w:r>
              <w:rPr>
                <w:bCs/>
              </w:rPr>
              <w:t>;</w:t>
            </w:r>
          </w:p>
          <w:p w14:paraId="03B46B1A" w14:textId="1AF73213" w:rsidR="00387B74" w:rsidRPr="00387B74" w:rsidRDefault="00387B74" w:rsidP="002B2607">
            <w:pPr>
              <w:pStyle w:val="ListParagraph"/>
              <w:numPr>
                <w:ilvl w:val="0"/>
                <w:numId w:val="19"/>
              </w:numPr>
              <w:spacing w:line="240" w:lineRule="auto"/>
              <w:jc w:val="both"/>
              <w:rPr>
                <w:bCs/>
              </w:rPr>
            </w:pPr>
            <w:r>
              <w:rPr>
                <w:bCs/>
              </w:rPr>
              <w:t>e</w:t>
            </w:r>
            <w:r w:rsidRPr="00387B74">
              <w:rPr>
                <w:bCs/>
              </w:rPr>
              <w:t>lektromobilių įkrovimo stotelės montavimo darbų kaina</w:t>
            </w:r>
            <w:r w:rsidR="003F4AF9">
              <w:rPr>
                <w:rStyle w:val="FootnoteReference"/>
                <w:bCs/>
              </w:rPr>
              <w:footnoteReference w:id="14"/>
            </w:r>
            <w:r w:rsidRPr="00387B74">
              <w:rPr>
                <w:bCs/>
              </w:rPr>
              <w:t>, Eur (be PVM)</w:t>
            </w:r>
            <w:r w:rsidR="003F4AF9">
              <w:rPr>
                <w:bCs/>
              </w:rPr>
              <w:t>.</w:t>
            </w:r>
          </w:p>
          <w:p w14:paraId="17042C9B" w14:textId="3372E1AA" w:rsidR="00387B74" w:rsidRDefault="003F4AF9" w:rsidP="002B2607">
            <w:pPr>
              <w:spacing w:line="240" w:lineRule="auto"/>
              <w:jc w:val="both"/>
            </w:pPr>
            <w:r>
              <w:t>Tiekėjų buvo prašoma užpildyti informaciją atskirai pagal elektromobilių įkrovimo prieigos tipą (įprastos galio</w:t>
            </w:r>
            <w:r w:rsidR="00CA0D73">
              <w:t>s</w:t>
            </w:r>
            <w:r>
              <w:t xml:space="preserve">, vidutinės galios, didelės ir labai didelės galios). </w:t>
            </w:r>
            <w:r w:rsidR="00101892" w:rsidRPr="00101892">
              <w:t xml:space="preserve">Detali informacija, kaip buvo vykdoma apklausa ir sudaroma tiekėjų imtis pateikiama šio priedėlio C dalies 1 p. ir </w:t>
            </w:r>
            <w:r w:rsidR="00101892">
              <w:t>2</w:t>
            </w:r>
            <w:r w:rsidR="00101892" w:rsidRPr="00101892">
              <w:t xml:space="preserve"> priede.</w:t>
            </w:r>
          </w:p>
          <w:p w14:paraId="448A5E2E" w14:textId="792F44E4" w:rsidR="00AE47FC" w:rsidRDefault="00AE47FC" w:rsidP="002B2607">
            <w:pPr>
              <w:spacing w:line="240" w:lineRule="auto"/>
              <w:jc w:val="both"/>
            </w:pPr>
            <w:r w:rsidRPr="00AE47FC">
              <w:t xml:space="preserve">Remiantis tuo, kad </w:t>
            </w:r>
            <w:r>
              <w:t xml:space="preserve">kiekvienos elektromobilių įkrovimo prieigos tipo intervale tiekėjai pateikė duomenis apie elektromobilių įkrovimo stoteles, turinčias skirtingą prieigų skaičių, </w:t>
            </w:r>
            <w:r w:rsidRPr="00AE47FC">
              <w:t xml:space="preserve">fiksuotieji vieneto įkainiai taip pat </w:t>
            </w:r>
            <w:r w:rsidR="00663241">
              <w:t xml:space="preserve">buvo </w:t>
            </w:r>
            <w:r w:rsidRPr="00AE47FC">
              <w:t xml:space="preserve">diferencijuojami atsižvelgiant į </w:t>
            </w:r>
            <w:r>
              <w:t xml:space="preserve">prieigų skaičių. </w:t>
            </w:r>
          </w:p>
          <w:p w14:paraId="0BA8DAA8" w14:textId="77777777" w:rsidR="00AE47FC" w:rsidRDefault="00F01FC4" w:rsidP="002B2607">
            <w:pPr>
              <w:spacing w:line="240" w:lineRule="auto"/>
              <w:jc w:val="both"/>
            </w:pPr>
            <w:r>
              <w:t>Fiksuotieji vieneto įkainiai buvo apskaičiuoti remiantis tokia seka:</w:t>
            </w:r>
          </w:p>
          <w:p w14:paraId="62656546" w14:textId="71829403" w:rsidR="00F01FC4" w:rsidRPr="001B552E" w:rsidRDefault="00F01FC4" w:rsidP="002B2607">
            <w:pPr>
              <w:spacing w:line="240" w:lineRule="auto"/>
              <w:jc w:val="center"/>
              <w:rPr>
                <w:rFonts w:eastAsiaTheme="minorEastAsia"/>
                <w:iCs/>
              </w:rPr>
            </w:pPr>
            <m:oMath>
              <m:r>
                <w:rPr>
                  <w:rFonts w:ascii="Cambria Math" w:hAnsi="Cambria Math"/>
                </w:rPr>
                <m:t>FĮ=</m:t>
              </m:r>
              <m:acc>
                <m:accPr>
                  <m:chr m:val="̅"/>
                  <m:ctrlPr>
                    <w:rPr>
                      <w:rFonts w:ascii="Cambria Math" w:hAnsi="Cambria Math"/>
                      <w:i/>
                      <w:lang w:val="en-US"/>
                    </w:rPr>
                  </m:ctrlPr>
                </m:accPr>
                <m:e>
                  <m:sSub>
                    <m:sSubPr>
                      <m:ctrlPr>
                        <w:rPr>
                          <w:rFonts w:ascii="Cambria Math" w:hAnsi="Cambria Math"/>
                          <w:i/>
                          <w:lang w:val="en-US"/>
                        </w:rPr>
                      </m:ctrlPr>
                    </m:sSubPr>
                    <m:e>
                      <m:r>
                        <w:rPr>
                          <w:rFonts w:ascii="Cambria Math" w:hAnsi="Cambria Math"/>
                        </w:rPr>
                        <m:t>x</m:t>
                      </m:r>
                    </m:e>
                    <m:sub>
                      <m:r>
                        <w:rPr>
                          <w:rFonts w:ascii="Cambria Math" w:hAnsi="Cambria Math"/>
                        </w:rPr>
                        <m:t>i(n)</m:t>
                      </m:r>
                    </m:sub>
                  </m:sSub>
                </m:e>
              </m:acc>
              <m:r>
                <w:rPr>
                  <w:rFonts w:ascii="Cambria Math" w:hAnsi="Cambria Math"/>
                </w:rPr>
                <m:t>+</m:t>
              </m:r>
              <m:acc>
                <m:accPr>
                  <m:chr m:val="̅"/>
                  <m:ctrlPr>
                    <w:rPr>
                      <w:rFonts w:ascii="Cambria Math" w:hAnsi="Cambria Math"/>
                      <w:i/>
                      <w:lang w:val="en-US"/>
                    </w:rPr>
                  </m:ctrlPr>
                </m:accPr>
                <m:e>
                  <m:sSub>
                    <m:sSubPr>
                      <m:ctrlPr>
                        <w:rPr>
                          <w:rFonts w:ascii="Cambria Math" w:hAnsi="Cambria Math"/>
                          <w:i/>
                          <w:lang w:val="en-US"/>
                        </w:rPr>
                      </m:ctrlPr>
                    </m:sSubPr>
                    <m:e>
                      <m:r>
                        <w:rPr>
                          <w:rFonts w:ascii="Cambria Math" w:hAnsi="Cambria Math"/>
                        </w:rPr>
                        <m:t>y</m:t>
                      </m:r>
                    </m:e>
                    <m:sub>
                      <m:r>
                        <w:rPr>
                          <w:rFonts w:ascii="Cambria Math" w:hAnsi="Cambria Math"/>
                        </w:rPr>
                        <m:t>i</m:t>
                      </m:r>
                    </m:sub>
                  </m:sSub>
                  <m:r>
                    <w:rPr>
                      <w:rFonts w:ascii="Cambria Math" w:hAnsi="Cambria Math"/>
                    </w:rPr>
                    <m:t xml:space="preserve">, </m:t>
                  </m:r>
                </m:e>
              </m:acc>
            </m:oMath>
            <w:r w:rsidRPr="00E13B55">
              <w:rPr>
                <w:rFonts w:eastAsiaTheme="minorEastAsia"/>
                <w:i/>
              </w:rPr>
              <w:t xml:space="preserve">  </w:t>
            </w:r>
            <w:r w:rsidRPr="00E13B55">
              <w:rPr>
                <w:rFonts w:eastAsiaTheme="minorEastAsia"/>
                <w:iCs/>
              </w:rPr>
              <w:t xml:space="preserve">                                    </w:t>
            </w:r>
            <w:r w:rsidRPr="001B552E">
              <w:rPr>
                <w:rFonts w:eastAsiaTheme="minorEastAsia"/>
                <w:iCs/>
              </w:rPr>
              <w:t>(1)</w:t>
            </w:r>
          </w:p>
          <w:p w14:paraId="226EABBB" w14:textId="7A3CDD61" w:rsidR="00F01FC4" w:rsidRPr="00E13B55" w:rsidRDefault="00F01FC4" w:rsidP="002B2607">
            <w:pPr>
              <w:spacing w:line="240" w:lineRule="auto"/>
              <w:rPr>
                <w:rFonts w:eastAsiaTheme="minorEastAsia"/>
              </w:rPr>
            </w:pPr>
            <w:r w:rsidRPr="00E13B55">
              <w:rPr>
                <w:rFonts w:eastAsiaTheme="minorEastAsia"/>
                <w:iCs/>
              </w:rPr>
              <w:lastRenderedPageBreak/>
              <w:t xml:space="preserve">kur </w:t>
            </w:r>
            <m:oMath>
              <m:acc>
                <m:accPr>
                  <m:chr m:val="̅"/>
                  <m:ctrlPr>
                    <w:rPr>
                      <w:rFonts w:ascii="Cambria Math" w:hAnsi="Cambria Math"/>
                      <w:i/>
                    </w:rPr>
                  </m:ctrlPr>
                </m:accPr>
                <m:e>
                  <m:r>
                    <w:rPr>
                      <w:rFonts w:ascii="Cambria Math" w:hAnsi="Cambria Math"/>
                    </w:rPr>
                    <m:t>x</m:t>
                  </m:r>
                </m:e>
              </m:acc>
            </m:oMath>
            <w:r w:rsidRPr="00E13B55">
              <w:rPr>
                <w:rFonts w:eastAsiaTheme="minorEastAsia"/>
              </w:rPr>
              <w:t xml:space="preserve"> – vidutinė </w:t>
            </w:r>
            <w:r w:rsidRPr="00E13B55">
              <w:rPr>
                <w:rFonts w:eastAsiaTheme="minorEastAsia"/>
                <w:i/>
                <w:iCs/>
              </w:rPr>
              <w:t>i</w:t>
            </w:r>
            <w:r w:rsidRPr="00E13B55">
              <w:rPr>
                <w:rFonts w:eastAsiaTheme="minorEastAsia"/>
              </w:rPr>
              <w:t xml:space="preserve">-jo intervalo elektromobilių įkrovimo stotelės, esant prieigų skaičiui </w:t>
            </w:r>
            <w:r w:rsidRPr="00E13B55">
              <w:rPr>
                <w:rFonts w:eastAsiaTheme="minorEastAsia"/>
                <w:i/>
                <w:iCs/>
              </w:rPr>
              <w:t>n</w:t>
            </w:r>
            <w:r w:rsidRPr="00E13B55">
              <w:rPr>
                <w:rFonts w:eastAsiaTheme="minorEastAsia"/>
              </w:rPr>
              <w:t>;</w:t>
            </w:r>
          </w:p>
          <w:p w14:paraId="60167295" w14:textId="0C05CC00" w:rsidR="00F01FC4" w:rsidRDefault="008A5BBF" w:rsidP="002B2607">
            <w:pPr>
              <w:spacing w:line="240" w:lineRule="auto"/>
              <w:rPr>
                <w:rFonts w:eastAsiaTheme="minorEastAsia"/>
              </w:rPr>
            </w:pPr>
            <m:oMath>
              <m:acc>
                <m:accPr>
                  <m:chr m:val="̅"/>
                  <m:ctrlPr>
                    <w:rPr>
                      <w:rFonts w:ascii="Cambria Math" w:hAnsi="Cambria Math"/>
                      <w:i/>
                    </w:rPr>
                  </m:ctrlPr>
                </m:accPr>
                <m:e>
                  <m:r>
                    <w:rPr>
                      <w:rFonts w:ascii="Cambria Math" w:hAnsi="Cambria Math"/>
                    </w:rPr>
                    <m:t xml:space="preserve">y </m:t>
                  </m:r>
                </m:e>
              </m:acc>
            </m:oMath>
            <w:r w:rsidR="00F01FC4" w:rsidRPr="00E13B55">
              <w:rPr>
                <w:rFonts w:eastAsiaTheme="minorEastAsia"/>
              </w:rPr>
              <w:t>–</w:t>
            </w:r>
            <w:r w:rsidR="00F01FC4" w:rsidRPr="00F01FC4">
              <w:rPr>
                <w:rFonts w:eastAsiaTheme="minorEastAsia"/>
              </w:rPr>
              <w:t xml:space="preserve"> vidutinė </w:t>
            </w:r>
            <w:r w:rsidR="00F01FC4" w:rsidRPr="00F01FC4">
              <w:rPr>
                <w:rFonts w:eastAsiaTheme="minorEastAsia"/>
                <w:i/>
                <w:iCs/>
              </w:rPr>
              <w:t>i</w:t>
            </w:r>
            <w:r w:rsidR="00F01FC4" w:rsidRPr="00F01FC4">
              <w:rPr>
                <w:rFonts w:eastAsiaTheme="minorEastAsia"/>
              </w:rPr>
              <w:t>-</w:t>
            </w:r>
            <w:proofErr w:type="spellStart"/>
            <w:r w:rsidR="00F01FC4" w:rsidRPr="00F01FC4">
              <w:rPr>
                <w:rFonts w:eastAsiaTheme="minorEastAsia"/>
              </w:rPr>
              <w:t>ojo</w:t>
            </w:r>
            <w:proofErr w:type="spellEnd"/>
            <w:r w:rsidR="00F01FC4" w:rsidRPr="00F01FC4">
              <w:rPr>
                <w:rFonts w:eastAsiaTheme="minorEastAsia"/>
              </w:rPr>
              <w:t xml:space="preserve"> intervalo montavimo darbų kaina.</w:t>
            </w:r>
          </w:p>
          <w:p w14:paraId="502360EA" w14:textId="5DF3B588" w:rsidR="000D1B78" w:rsidRDefault="00DD5B65" w:rsidP="002B2607">
            <w:pPr>
              <w:spacing w:line="240" w:lineRule="auto"/>
              <w:jc w:val="both"/>
              <w:rPr>
                <w:rFonts w:eastAsiaTheme="minorEastAsia"/>
              </w:rPr>
            </w:pPr>
            <w:r w:rsidRPr="00DD5B65">
              <w:rPr>
                <w:rFonts w:eastAsiaTheme="minorEastAsia"/>
              </w:rPr>
              <w:t>Nagrinėjant visų apklaustų rinkos tiekėjų pateiktus duomenis</w:t>
            </w:r>
            <w:r>
              <w:rPr>
                <w:rFonts w:eastAsiaTheme="minorEastAsia"/>
              </w:rPr>
              <w:t xml:space="preserve"> apie montavimo darbų kainas</w:t>
            </w:r>
            <w:r w:rsidRPr="00DD5B65">
              <w:rPr>
                <w:rFonts w:eastAsiaTheme="minorEastAsia"/>
              </w:rPr>
              <w:t xml:space="preserve">, </w:t>
            </w:r>
            <w:r>
              <w:rPr>
                <w:rFonts w:eastAsiaTheme="minorEastAsia"/>
              </w:rPr>
              <w:t>buvo pastebėta</w:t>
            </w:r>
            <w:r w:rsidRPr="00DD5B65">
              <w:rPr>
                <w:rFonts w:eastAsiaTheme="minorEastAsia"/>
              </w:rPr>
              <w:t xml:space="preserve">, kad </w:t>
            </w:r>
            <w:r w:rsidR="00F517DA">
              <w:rPr>
                <w:rFonts w:eastAsiaTheme="minorEastAsia"/>
              </w:rPr>
              <w:t>dviejų</w:t>
            </w:r>
            <w:r>
              <w:rPr>
                <w:rFonts w:eastAsiaTheme="minorEastAsia"/>
              </w:rPr>
              <w:t xml:space="preserve"> įmon</w:t>
            </w:r>
            <w:r w:rsidR="00F517DA">
              <w:rPr>
                <w:rFonts w:eastAsiaTheme="minorEastAsia"/>
              </w:rPr>
              <w:t>ių</w:t>
            </w:r>
            <w:r w:rsidRPr="00DD5B65">
              <w:rPr>
                <w:rFonts w:eastAsiaTheme="minorEastAsia"/>
              </w:rPr>
              <w:t xml:space="preserve"> nurodytos montavimo darbų kainos ženkliai skiriasi nuo kitų rinkos dalyvių, </w:t>
            </w:r>
            <w:r>
              <w:rPr>
                <w:rFonts w:eastAsiaTheme="minorEastAsia"/>
              </w:rPr>
              <w:t xml:space="preserve">todėl buvo </w:t>
            </w:r>
            <w:r w:rsidR="00F517DA">
              <w:rPr>
                <w:rFonts w:eastAsiaTheme="minorEastAsia"/>
              </w:rPr>
              <w:t xml:space="preserve">papildomai </w:t>
            </w:r>
            <w:r>
              <w:rPr>
                <w:rFonts w:eastAsiaTheme="minorEastAsia"/>
              </w:rPr>
              <w:t>prašoma</w:t>
            </w:r>
            <w:r w:rsidRPr="00DD5B65">
              <w:rPr>
                <w:rFonts w:eastAsiaTheme="minorEastAsia"/>
              </w:rPr>
              <w:t xml:space="preserve"> detalizuoti, kas sudaro nurodytą bendrą elektromobilių įkrovimo stotelių montavimų darbų kainą. </w:t>
            </w:r>
            <w:r w:rsidR="00F517DA">
              <w:rPr>
                <w:rFonts w:eastAsiaTheme="minorEastAsia"/>
              </w:rPr>
              <w:t xml:space="preserve">Vienas iš tiekėjų pateikė patikslintus duomenis, o kitas – duomenų nepateikė. </w:t>
            </w:r>
            <w:r>
              <w:rPr>
                <w:rFonts w:eastAsiaTheme="minorEastAsia"/>
              </w:rPr>
              <w:t xml:space="preserve">Taip pat į skaičiavimus nebuvo įtrauktos montavimo darbų kainos, kuriose buvo įskaičiuotas techninio projekto parengimas, nes nebuvo galimybės išskirti, kokia dalis išlaidų apima techninio projekto parengimą. </w:t>
            </w:r>
            <w:r w:rsidR="00F517DA">
              <w:rPr>
                <w:rFonts w:eastAsiaTheme="minorEastAsia"/>
              </w:rPr>
              <w:t xml:space="preserve">Atsižvelgiant į tai, kad tarp montavimo darbų kainų kiekvienos grupės intervale buvo pastebėti dideli atotrūkiai, montavimų darbų kainos vidurkis buvo apskaičiuotas SPSS programos pagalba su funkcija </w:t>
            </w:r>
            <w:r w:rsidR="00F517DA" w:rsidRPr="000D1B78">
              <w:rPr>
                <w:rFonts w:eastAsiaTheme="minorEastAsia"/>
                <w:i/>
                <w:iCs/>
              </w:rPr>
              <w:t xml:space="preserve">5% </w:t>
            </w:r>
            <w:proofErr w:type="spellStart"/>
            <w:r w:rsidR="00F517DA" w:rsidRPr="000D1B78">
              <w:rPr>
                <w:rFonts w:eastAsiaTheme="minorEastAsia"/>
                <w:i/>
                <w:iCs/>
              </w:rPr>
              <w:t>Trimmead</w:t>
            </w:r>
            <w:proofErr w:type="spellEnd"/>
            <w:r w:rsidR="00F517DA" w:rsidRPr="000D1B78">
              <w:rPr>
                <w:rFonts w:eastAsiaTheme="minorEastAsia"/>
                <w:i/>
                <w:iCs/>
              </w:rPr>
              <w:t xml:space="preserve"> </w:t>
            </w:r>
            <w:proofErr w:type="spellStart"/>
            <w:r w:rsidR="00F517DA">
              <w:rPr>
                <w:rFonts w:eastAsiaTheme="minorEastAsia"/>
                <w:i/>
                <w:iCs/>
              </w:rPr>
              <w:t>M</w:t>
            </w:r>
            <w:r w:rsidR="00F517DA" w:rsidRPr="000D1B78">
              <w:rPr>
                <w:rFonts w:eastAsiaTheme="minorEastAsia"/>
                <w:i/>
                <w:iCs/>
              </w:rPr>
              <w:t>ean</w:t>
            </w:r>
            <w:proofErr w:type="spellEnd"/>
            <w:r w:rsidR="00F517DA">
              <w:rPr>
                <w:rFonts w:eastAsiaTheme="minorEastAsia"/>
                <w:i/>
                <w:iCs/>
              </w:rPr>
              <w:t xml:space="preserve">, </w:t>
            </w:r>
            <w:r w:rsidR="00F517DA">
              <w:rPr>
                <w:rFonts w:eastAsiaTheme="minorEastAsia"/>
              </w:rPr>
              <w:t xml:space="preserve">taip pašalinant išskirtis. </w:t>
            </w:r>
            <w:r w:rsidR="00F01FC4" w:rsidRPr="007E0507">
              <w:rPr>
                <w:rFonts w:eastAsiaTheme="minorEastAsia"/>
              </w:rPr>
              <w:t xml:space="preserve">Detalūs skaičiavimai pateikiami </w:t>
            </w:r>
            <w:r w:rsidR="007E0507" w:rsidRPr="007E0507">
              <w:rPr>
                <w:rFonts w:eastAsiaTheme="minorEastAsia"/>
              </w:rPr>
              <w:t>3</w:t>
            </w:r>
            <w:r w:rsidR="00F01FC4" w:rsidRPr="007E0507">
              <w:rPr>
                <w:rFonts w:eastAsiaTheme="minorEastAsia"/>
              </w:rPr>
              <w:t xml:space="preserve"> priede.</w:t>
            </w:r>
          </w:p>
          <w:p w14:paraId="62CE1C07" w14:textId="09D28008" w:rsidR="000D1B78" w:rsidRPr="00A55AA3" w:rsidRDefault="000D1B78" w:rsidP="002B2607">
            <w:pPr>
              <w:spacing w:line="240" w:lineRule="auto"/>
              <w:jc w:val="both"/>
            </w:pPr>
            <w:r w:rsidRPr="00A55AA3">
              <w:t xml:space="preserve">Kadangi įgyvendinant veiklas, projekto vykdytojais bus ūkio subjektai, kurie PVM susigrąžins ir taikys fiksuotuosius vieneto įkainius be PVM, ir projekto vykdytojai, kurie PVM nesusigrąžins ir taikys fiksuotuosius vieneto įkainius su PVM, </w:t>
            </w:r>
            <w:r w:rsidR="00663241" w:rsidRPr="00A55AA3">
              <w:t>apskaičiuo</w:t>
            </w:r>
            <w:r w:rsidR="00663241">
              <w:t>t</w:t>
            </w:r>
            <w:r w:rsidR="00663241" w:rsidRPr="00A55AA3">
              <w:t xml:space="preserve">i </w:t>
            </w:r>
            <w:r w:rsidRPr="00A55AA3">
              <w:t>ir fiksuotieji vieneto įkainiai su PVM, pridedant prie vidutinių reikšmių PVM mokesčio tarifą</w:t>
            </w:r>
            <w:r w:rsidRPr="00A55AA3">
              <w:rPr>
                <w:rStyle w:val="FootnoteReference"/>
              </w:rPr>
              <w:footnoteReference w:id="15"/>
            </w:r>
            <w:r w:rsidRPr="00A55AA3">
              <w:t xml:space="preserve">. </w:t>
            </w:r>
            <w:r w:rsidRPr="000D1B78">
              <w:t xml:space="preserve">Nustatyti fiksuotieji vieneto įkainiai </w:t>
            </w:r>
            <w:r>
              <w:t xml:space="preserve">pateikiami </w:t>
            </w:r>
            <w:r w:rsidRPr="000D1B78">
              <w:t>1 lentelė</w:t>
            </w:r>
            <w:r>
              <w:t>je.</w:t>
            </w:r>
          </w:p>
          <w:p w14:paraId="73B5E0AB" w14:textId="362C4E9D" w:rsidR="00F01FC4" w:rsidRDefault="000D1B78" w:rsidP="000D1B78">
            <w:pPr>
              <w:spacing w:line="276" w:lineRule="auto"/>
              <w:jc w:val="center"/>
              <w:rPr>
                <w:rFonts w:eastAsiaTheme="minorEastAsia"/>
                <w:b/>
                <w:bCs/>
              </w:rPr>
            </w:pPr>
            <w:r w:rsidRPr="000D1B78">
              <w:rPr>
                <w:rFonts w:eastAsiaTheme="minorEastAsia"/>
                <w:b/>
                <w:bCs/>
              </w:rPr>
              <w:t>1 lentelė. Nustatyti fiksuotieji vieneto įkainiai</w:t>
            </w:r>
          </w:p>
          <w:tbl>
            <w:tblPr>
              <w:tblW w:w="9402" w:type="dxa"/>
              <w:tblLook w:val="04A0" w:firstRow="1" w:lastRow="0" w:firstColumn="1" w:lastColumn="0" w:noHBand="0" w:noVBand="1"/>
            </w:tblPr>
            <w:tblGrid>
              <w:gridCol w:w="6746"/>
              <w:gridCol w:w="1363"/>
              <w:gridCol w:w="1293"/>
            </w:tblGrid>
            <w:tr w:rsidR="000D1B78" w:rsidRPr="000D1B78" w14:paraId="2D22102F" w14:textId="77777777" w:rsidTr="000D1B78">
              <w:trPr>
                <w:trHeight w:val="1043"/>
              </w:trPr>
              <w:tc>
                <w:tcPr>
                  <w:tcW w:w="6746" w:type="dxa"/>
                  <w:tcBorders>
                    <w:top w:val="single" w:sz="4" w:space="0" w:color="auto"/>
                    <w:left w:val="single" w:sz="4" w:space="0" w:color="auto"/>
                    <w:bottom w:val="single" w:sz="4" w:space="0" w:color="auto"/>
                    <w:right w:val="single" w:sz="4" w:space="0" w:color="auto"/>
                  </w:tcBorders>
                  <w:shd w:val="clear" w:color="000000" w:fill="33CCCC"/>
                  <w:noWrap/>
                  <w:vAlign w:val="center"/>
                  <w:hideMark/>
                </w:tcPr>
                <w:p w14:paraId="3EE131CC" w14:textId="5D6FF092" w:rsidR="000D1B78" w:rsidRPr="000D1B78" w:rsidRDefault="000D1B78" w:rsidP="000D1B78">
                  <w:pPr>
                    <w:spacing w:before="0" w:after="0" w:line="240" w:lineRule="auto"/>
                    <w:jc w:val="center"/>
                    <w:rPr>
                      <w:rFonts w:eastAsia="Times New Roman"/>
                      <w:b/>
                      <w:bCs/>
                      <w:color w:val="FFFFFF"/>
                      <w:sz w:val="20"/>
                      <w:szCs w:val="20"/>
                      <w:lang w:eastAsia="lt-LT"/>
                    </w:rPr>
                  </w:pPr>
                  <w:r w:rsidRPr="000D1B78">
                    <w:rPr>
                      <w:rFonts w:eastAsia="Times New Roman"/>
                      <w:b/>
                      <w:bCs/>
                      <w:color w:val="FFFFFF"/>
                      <w:sz w:val="20"/>
                      <w:szCs w:val="20"/>
                      <w:lang w:eastAsia="lt-LT"/>
                    </w:rPr>
                    <w:t>Fiksuotieji vieneto įkainiai</w:t>
                  </w:r>
                </w:p>
              </w:tc>
              <w:tc>
                <w:tcPr>
                  <w:tcW w:w="1363" w:type="dxa"/>
                  <w:tcBorders>
                    <w:top w:val="single" w:sz="4" w:space="0" w:color="auto"/>
                    <w:left w:val="nil"/>
                    <w:bottom w:val="single" w:sz="4" w:space="0" w:color="auto"/>
                    <w:right w:val="single" w:sz="4" w:space="0" w:color="auto"/>
                  </w:tcBorders>
                  <w:shd w:val="clear" w:color="000000" w:fill="33CCCC"/>
                  <w:vAlign w:val="center"/>
                  <w:hideMark/>
                </w:tcPr>
                <w:p w14:paraId="57C4A9E5" w14:textId="6E9136A3" w:rsidR="000D1B78" w:rsidRPr="000D1B78" w:rsidRDefault="000D1B78" w:rsidP="000D1B78">
                  <w:pPr>
                    <w:spacing w:before="0" w:after="0" w:line="240" w:lineRule="auto"/>
                    <w:jc w:val="center"/>
                    <w:rPr>
                      <w:rFonts w:eastAsia="Times New Roman"/>
                      <w:b/>
                      <w:bCs/>
                      <w:color w:val="FFFFFF"/>
                      <w:sz w:val="20"/>
                      <w:szCs w:val="20"/>
                      <w:lang w:eastAsia="lt-LT"/>
                    </w:rPr>
                  </w:pPr>
                  <w:r w:rsidRPr="000D1B78">
                    <w:rPr>
                      <w:rFonts w:eastAsia="Times New Roman"/>
                      <w:b/>
                      <w:bCs/>
                      <w:color w:val="FFFFFF"/>
                      <w:sz w:val="20"/>
                      <w:szCs w:val="20"/>
                      <w:lang w:eastAsia="lt-LT"/>
                    </w:rPr>
                    <w:t>Nustatytas dydis, EUR be PVM</w:t>
                  </w:r>
                </w:p>
              </w:tc>
              <w:tc>
                <w:tcPr>
                  <w:tcW w:w="1293" w:type="dxa"/>
                  <w:tcBorders>
                    <w:top w:val="single" w:sz="4" w:space="0" w:color="auto"/>
                    <w:left w:val="nil"/>
                    <w:bottom w:val="single" w:sz="4" w:space="0" w:color="auto"/>
                    <w:right w:val="single" w:sz="4" w:space="0" w:color="auto"/>
                  </w:tcBorders>
                  <w:shd w:val="clear" w:color="000000" w:fill="33CCCC"/>
                  <w:vAlign w:val="center"/>
                  <w:hideMark/>
                </w:tcPr>
                <w:p w14:paraId="2EB69294" w14:textId="289755A7" w:rsidR="000D1B78" w:rsidRPr="000D1B78" w:rsidRDefault="000D1B78" w:rsidP="000D1B78">
                  <w:pPr>
                    <w:spacing w:before="0" w:after="0" w:line="240" w:lineRule="auto"/>
                    <w:jc w:val="center"/>
                    <w:rPr>
                      <w:rFonts w:eastAsia="Times New Roman"/>
                      <w:b/>
                      <w:bCs/>
                      <w:color w:val="FFFFFF"/>
                      <w:sz w:val="20"/>
                      <w:szCs w:val="20"/>
                      <w:lang w:eastAsia="lt-LT"/>
                    </w:rPr>
                  </w:pPr>
                  <w:r w:rsidRPr="000D1B78">
                    <w:rPr>
                      <w:rFonts w:eastAsia="Times New Roman"/>
                      <w:b/>
                      <w:bCs/>
                      <w:color w:val="FFFFFF"/>
                      <w:sz w:val="20"/>
                      <w:szCs w:val="20"/>
                      <w:lang w:eastAsia="lt-LT"/>
                    </w:rPr>
                    <w:t>Nustatytas dydis EUR su PVM</w:t>
                  </w:r>
                </w:p>
              </w:tc>
            </w:tr>
            <w:tr w:rsidR="0044581C" w:rsidRPr="000D1B78" w14:paraId="1F809E96" w14:textId="77777777" w:rsidTr="000D1B78">
              <w:trPr>
                <w:trHeight w:val="609"/>
              </w:trPr>
              <w:tc>
                <w:tcPr>
                  <w:tcW w:w="6746" w:type="dxa"/>
                  <w:tcBorders>
                    <w:top w:val="nil"/>
                    <w:left w:val="single" w:sz="4" w:space="0" w:color="auto"/>
                    <w:bottom w:val="single" w:sz="4" w:space="0" w:color="auto"/>
                    <w:right w:val="single" w:sz="4" w:space="0" w:color="auto"/>
                  </w:tcBorders>
                  <w:shd w:val="clear" w:color="auto" w:fill="auto"/>
                  <w:hideMark/>
                </w:tcPr>
                <w:p w14:paraId="0ED39B71" w14:textId="091C8561" w:rsidR="0044581C" w:rsidRPr="000D1B78" w:rsidRDefault="0044581C" w:rsidP="0044581C">
                  <w:pPr>
                    <w:spacing w:before="0" w:after="0" w:line="240" w:lineRule="auto"/>
                    <w:rPr>
                      <w:rFonts w:eastAsia="Times New Roman"/>
                      <w:color w:val="000000"/>
                      <w:sz w:val="20"/>
                      <w:szCs w:val="20"/>
                      <w:lang w:eastAsia="lt-LT"/>
                    </w:rPr>
                  </w:pPr>
                  <w:r w:rsidRPr="000D1B78">
                    <w:rPr>
                      <w:rFonts w:eastAsia="Times New Roman"/>
                      <w:color w:val="000000"/>
                      <w:sz w:val="20"/>
                      <w:szCs w:val="20"/>
                      <w:lang w:eastAsia="lt-LT"/>
                    </w:rPr>
                    <w:t>Elektromobilių įkrovimo stotelių, kurių elektromobilių įkrovimo prieigos perduodama elektrinė galia yra didesnė kaip 11 kW, bet ne didesnė kaip 22 kW, įsigijimo ir montavimo darbų išlaidų fiksuotasis vieneto įkainis, kai prieigų skaičius lygus 1</w:t>
                  </w:r>
                </w:p>
              </w:tc>
              <w:tc>
                <w:tcPr>
                  <w:tcW w:w="1363" w:type="dxa"/>
                  <w:tcBorders>
                    <w:top w:val="nil"/>
                    <w:left w:val="nil"/>
                    <w:bottom w:val="single" w:sz="4" w:space="0" w:color="auto"/>
                    <w:right w:val="single" w:sz="4" w:space="0" w:color="auto"/>
                  </w:tcBorders>
                  <w:shd w:val="clear" w:color="auto" w:fill="auto"/>
                  <w:noWrap/>
                  <w:vAlign w:val="bottom"/>
                  <w:hideMark/>
                </w:tcPr>
                <w:p w14:paraId="1D971E48" w14:textId="3695B929"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155</w:t>
                  </w:r>
                  <w:r w:rsidR="00953AB7" w:rsidRPr="00E13B55">
                    <w:rPr>
                      <w:sz w:val="20"/>
                      <w:szCs w:val="20"/>
                    </w:rPr>
                    <w:t>8</w:t>
                  </w:r>
                  <w:r w:rsidRPr="00E13B55">
                    <w:rPr>
                      <w:sz w:val="20"/>
                      <w:szCs w:val="20"/>
                    </w:rPr>
                    <w:t>,</w:t>
                  </w:r>
                  <w:r w:rsidR="00953AB7" w:rsidRPr="00E13B55">
                    <w:rPr>
                      <w:sz w:val="20"/>
                      <w:szCs w:val="20"/>
                    </w:rPr>
                    <w:t>07</w:t>
                  </w:r>
                </w:p>
              </w:tc>
              <w:tc>
                <w:tcPr>
                  <w:tcW w:w="1293" w:type="dxa"/>
                  <w:tcBorders>
                    <w:top w:val="nil"/>
                    <w:left w:val="nil"/>
                    <w:bottom w:val="single" w:sz="4" w:space="0" w:color="auto"/>
                    <w:right w:val="single" w:sz="4" w:space="0" w:color="auto"/>
                  </w:tcBorders>
                  <w:shd w:val="clear" w:color="auto" w:fill="auto"/>
                  <w:noWrap/>
                  <w:vAlign w:val="bottom"/>
                  <w:hideMark/>
                </w:tcPr>
                <w:p w14:paraId="49716D73" w14:textId="7A4E68F2"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188</w:t>
                  </w:r>
                  <w:r w:rsidR="00953AB7" w:rsidRPr="00E13B55">
                    <w:rPr>
                      <w:sz w:val="20"/>
                      <w:szCs w:val="20"/>
                    </w:rPr>
                    <w:t>5</w:t>
                  </w:r>
                  <w:r w:rsidRPr="00E13B55">
                    <w:rPr>
                      <w:sz w:val="20"/>
                      <w:szCs w:val="20"/>
                    </w:rPr>
                    <w:t>,</w:t>
                  </w:r>
                  <w:r w:rsidR="00953AB7" w:rsidRPr="00E13B55">
                    <w:rPr>
                      <w:sz w:val="20"/>
                      <w:szCs w:val="20"/>
                    </w:rPr>
                    <w:t>26</w:t>
                  </w:r>
                </w:p>
              </w:tc>
            </w:tr>
            <w:tr w:rsidR="0044581C" w:rsidRPr="000D1B78" w14:paraId="0346B4D4" w14:textId="77777777" w:rsidTr="000D1B78">
              <w:trPr>
                <w:trHeight w:val="609"/>
              </w:trPr>
              <w:tc>
                <w:tcPr>
                  <w:tcW w:w="6746" w:type="dxa"/>
                  <w:tcBorders>
                    <w:top w:val="nil"/>
                    <w:left w:val="single" w:sz="4" w:space="0" w:color="auto"/>
                    <w:bottom w:val="single" w:sz="4" w:space="0" w:color="auto"/>
                    <w:right w:val="single" w:sz="4" w:space="0" w:color="auto"/>
                  </w:tcBorders>
                  <w:shd w:val="clear" w:color="auto" w:fill="auto"/>
                  <w:vAlign w:val="center"/>
                  <w:hideMark/>
                </w:tcPr>
                <w:p w14:paraId="245090BF" w14:textId="6AD3922A" w:rsidR="0044581C" w:rsidRPr="000D1B78" w:rsidRDefault="0044581C" w:rsidP="0044581C">
                  <w:pPr>
                    <w:spacing w:before="0" w:after="0" w:line="240" w:lineRule="auto"/>
                    <w:rPr>
                      <w:rFonts w:eastAsia="Times New Roman"/>
                      <w:color w:val="000000"/>
                      <w:sz w:val="20"/>
                      <w:szCs w:val="20"/>
                      <w:lang w:eastAsia="lt-LT"/>
                    </w:rPr>
                  </w:pPr>
                  <w:r w:rsidRPr="000D1B78">
                    <w:rPr>
                      <w:rFonts w:eastAsia="Times New Roman"/>
                      <w:color w:val="000000"/>
                      <w:sz w:val="20"/>
                      <w:szCs w:val="20"/>
                      <w:lang w:eastAsia="lt-LT"/>
                    </w:rPr>
                    <w:t>Elektromobilių įkrovimo stotelių, kurių elektromobilių įkrovimo prieigos perduodama elektrinė galia yra didesnė kaip 11 kW, bet ne didesnė kaip 22 kW, įsigijimo ir montavimo darbų išlaidų fiksuotasis vieneto įkainis, kai prieigų skaičius lygus 2</w:t>
                  </w:r>
                </w:p>
              </w:tc>
              <w:tc>
                <w:tcPr>
                  <w:tcW w:w="1363" w:type="dxa"/>
                  <w:tcBorders>
                    <w:top w:val="nil"/>
                    <w:left w:val="nil"/>
                    <w:bottom w:val="single" w:sz="4" w:space="0" w:color="auto"/>
                    <w:right w:val="single" w:sz="4" w:space="0" w:color="auto"/>
                  </w:tcBorders>
                  <w:shd w:val="clear" w:color="auto" w:fill="auto"/>
                  <w:noWrap/>
                  <w:vAlign w:val="bottom"/>
                  <w:hideMark/>
                </w:tcPr>
                <w:p w14:paraId="4FA1B74D" w14:textId="63378691"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441</w:t>
                  </w:r>
                  <w:r w:rsidR="00953AB7" w:rsidRPr="00E13B55">
                    <w:rPr>
                      <w:sz w:val="20"/>
                      <w:szCs w:val="20"/>
                    </w:rPr>
                    <w:t>2</w:t>
                  </w:r>
                  <w:r w:rsidRPr="00E13B55">
                    <w:rPr>
                      <w:sz w:val="20"/>
                      <w:szCs w:val="20"/>
                    </w:rPr>
                    <w:t>,</w:t>
                  </w:r>
                  <w:r w:rsidR="00953AB7" w:rsidRPr="00E13B55">
                    <w:rPr>
                      <w:sz w:val="20"/>
                      <w:szCs w:val="20"/>
                    </w:rPr>
                    <w:t>99</w:t>
                  </w:r>
                </w:p>
              </w:tc>
              <w:tc>
                <w:tcPr>
                  <w:tcW w:w="1293" w:type="dxa"/>
                  <w:tcBorders>
                    <w:top w:val="nil"/>
                    <w:left w:val="nil"/>
                    <w:bottom w:val="single" w:sz="4" w:space="0" w:color="auto"/>
                    <w:right w:val="single" w:sz="4" w:space="0" w:color="auto"/>
                  </w:tcBorders>
                  <w:shd w:val="clear" w:color="auto" w:fill="auto"/>
                  <w:noWrap/>
                  <w:vAlign w:val="bottom"/>
                  <w:hideMark/>
                </w:tcPr>
                <w:p w14:paraId="0A01D4A0" w14:textId="200B08F9"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53</w:t>
                  </w:r>
                  <w:r w:rsidR="00953AB7" w:rsidRPr="00E13B55">
                    <w:rPr>
                      <w:sz w:val="20"/>
                      <w:szCs w:val="20"/>
                    </w:rPr>
                    <w:t>39</w:t>
                  </w:r>
                  <w:r w:rsidRPr="00E13B55">
                    <w:rPr>
                      <w:sz w:val="20"/>
                      <w:szCs w:val="20"/>
                    </w:rPr>
                    <w:t>,</w:t>
                  </w:r>
                  <w:r w:rsidR="00953AB7" w:rsidRPr="00E13B55">
                    <w:rPr>
                      <w:sz w:val="20"/>
                      <w:szCs w:val="20"/>
                    </w:rPr>
                    <w:t>71</w:t>
                  </w:r>
                </w:p>
              </w:tc>
            </w:tr>
            <w:tr w:rsidR="0044581C" w:rsidRPr="000D1B78" w14:paraId="750F9703" w14:textId="77777777" w:rsidTr="000D1B78">
              <w:trPr>
                <w:trHeight w:val="609"/>
              </w:trPr>
              <w:tc>
                <w:tcPr>
                  <w:tcW w:w="6746" w:type="dxa"/>
                  <w:tcBorders>
                    <w:top w:val="nil"/>
                    <w:left w:val="single" w:sz="4" w:space="0" w:color="auto"/>
                    <w:bottom w:val="single" w:sz="4" w:space="0" w:color="auto"/>
                    <w:right w:val="single" w:sz="4" w:space="0" w:color="auto"/>
                  </w:tcBorders>
                  <w:shd w:val="clear" w:color="auto" w:fill="auto"/>
                  <w:hideMark/>
                </w:tcPr>
                <w:p w14:paraId="4A93CD0E" w14:textId="6631585F" w:rsidR="0044581C" w:rsidRPr="000D1B78" w:rsidRDefault="0044581C" w:rsidP="0044581C">
                  <w:pPr>
                    <w:spacing w:before="0" w:after="0" w:line="240" w:lineRule="auto"/>
                    <w:rPr>
                      <w:rFonts w:eastAsia="Times New Roman"/>
                      <w:color w:val="000000"/>
                      <w:sz w:val="20"/>
                      <w:szCs w:val="20"/>
                      <w:lang w:eastAsia="lt-LT"/>
                    </w:rPr>
                  </w:pPr>
                  <w:r w:rsidRPr="000D1B78">
                    <w:rPr>
                      <w:rFonts w:eastAsia="Times New Roman"/>
                      <w:color w:val="000000"/>
                      <w:sz w:val="20"/>
                      <w:szCs w:val="20"/>
                      <w:lang w:eastAsia="lt-LT"/>
                    </w:rPr>
                    <w:t>Elektromobilių įkrovimo stotelių, kurių elektromobilių įkrovimo prieigos perduodama elektrinė galia yra didesnė kaip 22 kW, bet ne didesnė kaip 49 kW, įsigijimo ir montavimo darbų išlaidų fiksuotasis vieneto įkainis, kai prieigų skaičius lygus 1</w:t>
                  </w:r>
                </w:p>
              </w:tc>
              <w:tc>
                <w:tcPr>
                  <w:tcW w:w="1363" w:type="dxa"/>
                  <w:tcBorders>
                    <w:top w:val="nil"/>
                    <w:left w:val="nil"/>
                    <w:bottom w:val="single" w:sz="4" w:space="0" w:color="auto"/>
                    <w:right w:val="single" w:sz="4" w:space="0" w:color="auto"/>
                  </w:tcBorders>
                  <w:shd w:val="clear" w:color="auto" w:fill="auto"/>
                  <w:noWrap/>
                  <w:vAlign w:val="bottom"/>
                  <w:hideMark/>
                </w:tcPr>
                <w:p w14:paraId="0885B1FD" w14:textId="0B16C96A" w:rsidR="0044581C" w:rsidRPr="00E13B55" w:rsidRDefault="0044581C" w:rsidP="0044581C">
                  <w:pPr>
                    <w:spacing w:before="0" w:after="0" w:line="240" w:lineRule="auto"/>
                    <w:jc w:val="right"/>
                    <w:rPr>
                      <w:rFonts w:eastAsia="Times New Roman"/>
                      <w:sz w:val="20"/>
                      <w:szCs w:val="20"/>
                      <w:lang w:eastAsia="lt-LT"/>
                    </w:rPr>
                  </w:pPr>
                  <w:r w:rsidRPr="00E13B55">
                    <w:rPr>
                      <w:sz w:val="20"/>
                      <w:szCs w:val="20"/>
                    </w:rPr>
                    <w:t>16743,70</w:t>
                  </w:r>
                </w:p>
              </w:tc>
              <w:tc>
                <w:tcPr>
                  <w:tcW w:w="1293" w:type="dxa"/>
                  <w:tcBorders>
                    <w:top w:val="nil"/>
                    <w:left w:val="nil"/>
                    <w:bottom w:val="single" w:sz="4" w:space="0" w:color="auto"/>
                    <w:right w:val="single" w:sz="4" w:space="0" w:color="auto"/>
                  </w:tcBorders>
                  <w:shd w:val="clear" w:color="auto" w:fill="auto"/>
                  <w:noWrap/>
                  <w:vAlign w:val="bottom"/>
                  <w:hideMark/>
                </w:tcPr>
                <w:p w14:paraId="0C09F52E" w14:textId="3414E387" w:rsidR="0044581C" w:rsidRPr="00E13B55" w:rsidRDefault="0044581C" w:rsidP="0044581C">
                  <w:pPr>
                    <w:spacing w:before="0" w:after="0" w:line="240" w:lineRule="auto"/>
                    <w:jc w:val="right"/>
                    <w:rPr>
                      <w:rFonts w:eastAsia="Times New Roman"/>
                      <w:sz w:val="20"/>
                      <w:szCs w:val="20"/>
                      <w:lang w:eastAsia="lt-LT"/>
                    </w:rPr>
                  </w:pPr>
                  <w:r w:rsidRPr="00E13B55">
                    <w:rPr>
                      <w:sz w:val="20"/>
                      <w:szCs w:val="20"/>
                    </w:rPr>
                    <w:t>20259,88</w:t>
                  </w:r>
                </w:p>
              </w:tc>
            </w:tr>
            <w:tr w:rsidR="0044581C" w:rsidRPr="000D1B78" w14:paraId="79E70182" w14:textId="77777777" w:rsidTr="000D1B78">
              <w:trPr>
                <w:trHeight w:val="609"/>
              </w:trPr>
              <w:tc>
                <w:tcPr>
                  <w:tcW w:w="6746" w:type="dxa"/>
                  <w:tcBorders>
                    <w:top w:val="nil"/>
                    <w:left w:val="single" w:sz="4" w:space="0" w:color="auto"/>
                    <w:bottom w:val="single" w:sz="4" w:space="0" w:color="auto"/>
                    <w:right w:val="single" w:sz="4" w:space="0" w:color="auto"/>
                  </w:tcBorders>
                  <w:shd w:val="clear" w:color="auto" w:fill="auto"/>
                  <w:vAlign w:val="center"/>
                  <w:hideMark/>
                </w:tcPr>
                <w:p w14:paraId="72213BDB" w14:textId="420179BD" w:rsidR="0044581C" w:rsidRPr="000D1B78" w:rsidRDefault="0044581C" w:rsidP="0044581C">
                  <w:pPr>
                    <w:spacing w:before="0" w:after="0" w:line="240" w:lineRule="auto"/>
                    <w:rPr>
                      <w:rFonts w:eastAsia="Times New Roman"/>
                      <w:color w:val="000000"/>
                      <w:sz w:val="20"/>
                      <w:szCs w:val="20"/>
                      <w:lang w:eastAsia="lt-LT"/>
                    </w:rPr>
                  </w:pPr>
                  <w:r w:rsidRPr="000D1B78">
                    <w:rPr>
                      <w:rFonts w:eastAsia="Times New Roman"/>
                      <w:color w:val="000000"/>
                      <w:sz w:val="20"/>
                      <w:szCs w:val="20"/>
                      <w:lang w:eastAsia="lt-LT"/>
                    </w:rPr>
                    <w:t>Elektromobilių įkrovimo stotelių, kurių elektromobilių įkrovimo prieigos perduodama elektrinė galia yra didesnė kaip 22 kW, bet ne didesnė kaip 49 kW, įsigijimo ir montavimo darbų išlaidų fiksuotasis vieneto įkainis, kai prieigų skaičius lygus 2</w:t>
                  </w:r>
                </w:p>
              </w:tc>
              <w:tc>
                <w:tcPr>
                  <w:tcW w:w="1363" w:type="dxa"/>
                  <w:tcBorders>
                    <w:top w:val="nil"/>
                    <w:left w:val="nil"/>
                    <w:bottom w:val="single" w:sz="4" w:space="0" w:color="auto"/>
                    <w:right w:val="single" w:sz="4" w:space="0" w:color="auto"/>
                  </w:tcBorders>
                  <w:shd w:val="clear" w:color="auto" w:fill="auto"/>
                  <w:noWrap/>
                  <w:vAlign w:val="bottom"/>
                  <w:hideMark/>
                </w:tcPr>
                <w:p w14:paraId="3DE93A30" w14:textId="4F6A8B0D" w:rsidR="0044581C" w:rsidRPr="00E13B55" w:rsidRDefault="0044581C" w:rsidP="0044581C">
                  <w:pPr>
                    <w:spacing w:before="0" w:after="0" w:line="240" w:lineRule="auto"/>
                    <w:jc w:val="right"/>
                    <w:rPr>
                      <w:rFonts w:eastAsia="Times New Roman"/>
                      <w:sz w:val="20"/>
                      <w:szCs w:val="20"/>
                      <w:lang w:eastAsia="lt-LT"/>
                    </w:rPr>
                  </w:pPr>
                  <w:r w:rsidRPr="00E13B55">
                    <w:rPr>
                      <w:sz w:val="20"/>
                      <w:szCs w:val="20"/>
                    </w:rPr>
                    <w:t>19628,70</w:t>
                  </w:r>
                </w:p>
              </w:tc>
              <w:tc>
                <w:tcPr>
                  <w:tcW w:w="1293" w:type="dxa"/>
                  <w:tcBorders>
                    <w:top w:val="nil"/>
                    <w:left w:val="nil"/>
                    <w:bottom w:val="single" w:sz="4" w:space="0" w:color="auto"/>
                    <w:right w:val="single" w:sz="4" w:space="0" w:color="auto"/>
                  </w:tcBorders>
                  <w:shd w:val="clear" w:color="auto" w:fill="auto"/>
                  <w:noWrap/>
                  <w:vAlign w:val="bottom"/>
                  <w:hideMark/>
                </w:tcPr>
                <w:p w14:paraId="376A08F9" w14:textId="5CB146B8" w:rsidR="0044581C" w:rsidRPr="00E13B55" w:rsidRDefault="0044581C" w:rsidP="0044581C">
                  <w:pPr>
                    <w:spacing w:before="0" w:after="0" w:line="240" w:lineRule="auto"/>
                    <w:jc w:val="right"/>
                    <w:rPr>
                      <w:rFonts w:eastAsia="Times New Roman"/>
                      <w:sz w:val="20"/>
                      <w:szCs w:val="20"/>
                      <w:lang w:eastAsia="lt-LT"/>
                    </w:rPr>
                  </w:pPr>
                  <w:r w:rsidRPr="00E13B55">
                    <w:rPr>
                      <w:sz w:val="20"/>
                      <w:szCs w:val="20"/>
                    </w:rPr>
                    <w:t>23750,73</w:t>
                  </w:r>
                </w:p>
              </w:tc>
            </w:tr>
            <w:tr w:rsidR="0044581C" w:rsidRPr="000D1B78" w14:paraId="4BE5C291" w14:textId="77777777" w:rsidTr="000D1B78">
              <w:trPr>
                <w:trHeight w:val="609"/>
              </w:trPr>
              <w:tc>
                <w:tcPr>
                  <w:tcW w:w="6746" w:type="dxa"/>
                  <w:tcBorders>
                    <w:top w:val="nil"/>
                    <w:left w:val="single" w:sz="4" w:space="0" w:color="auto"/>
                    <w:bottom w:val="single" w:sz="4" w:space="0" w:color="auto"/>
                    <w:right w:val="single" w:sz="4" w:space="0" w:color="auto"/>
                  </w:tcBorders>
                  <w:shd w:val="clear" w:color="auto" w:fill="auto"/>
                  <w:hideMark/>
                </w:tcPr>
                <w:p w14:paraId="2E31DC40" w14:textId="381AFFA9" w:rsidR="0044581C" w:rsidRPr="000D1B78" w:rsidRDefault="0044581C" w:rsidP="0044581C">
                  <w:pPr>
                    <w:spacing w:before="0" w:after="0" w:line="240" w:lineRule="auto"/>
                    <w:rPr>
                      <w:rFonts w:eastAsia="Times New Roman"/>
                      <w:color w:val="000000"/>
                      <w:sz w:val="20"/>
                      <w:szCs w:val="20"/>
                      <w:lang w:eastAsia="lt-LT"/>
                    </w:rPr>
                  </w:pPr>
                  <w:r w:rsidRPr="000D1B78">
                    <w:rPr>
                      <w:rFonts w:eastAsia="Times New Roman"/>
                      <w:color w:val="000000"/>
                      <w:sz w:val="20"/>
                      <w:szCs w:val="20"/>
                      <w:lang w:eastAsia="lt-LT"/>
                    </w:rPr>
                    <w:t>Elektromobilių įkrovimo stotelių, kurių elektromobilių įkrovimo prieigos perduodama elektrinė galia yra didesnė kaip 49 kW, bet ne didesnė kaip 149 kW, įsigijimo ir montavimo darbų išlaidų fiksuotasis vieneto įkainis, kai prieigų skaičius lygus 1</w:t>
                  </w:r>
                </w:p>
              </w:tc>
              <w:tc>
                <w:tcPr>
                  <w:tcW w:w="1363" w:type="dxa"/>
                  <w:tcBorders>
                    <w:top w:val="nil"/>
                    <w:left w:val="nil"/>
                    <w:bottom w:val="single" w:sz="4" w:space="0" w:color="auto"/>
                    <w:right w:val="single" w:sz="4" w:space="0" w:color="auto"/>
                  </w:tcBorders>
                  <w:shd w:val="clear" w:color="auto" w:fill="auto"/>
                  <w:noWrap/>
                  <w:vAlign w:val="bottom"/>
                  <w:hideMark/>
                </w:tcPr>
                <w:p w14:paraId="527DCACD" w14:textId="23ABC436"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33910,36</w:t>
                  </w:r>
                </w:p>
              </w:tc>
              <w:tc>
                <w:tcPr>
                  <w:tcW w:w="1293" w:type="dxa"/>
                  <w:tcBorders>
                    <w:top w:val="nil"/>
                    <w:left w:val="nil"/>
                    <w:bottom w:val="single" w:sz="4" w:space="0" w:color="auto"/>
                    <w:right w:val="single" w:sz="4" w:space="0" w:color="auto"/>
                  </w:tcBorders>
                  <w:shd w:val="clear" w:color="auto" w:fill="auto"/>
                  <w:noWrap/>
                  <w:vAlign w:val="bottom"/>
                  <w:hideMark/>
                </w:tcPr>
                <w:p w14:paraId="3ED9FDAE" w14:textId="0F931713"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41031,54</w:t>
                  </w:r>
                </w:p>
              </w:tc>
            </w:tr>
            <w:tr w:rsidR="0044581C" w:rsidRPr="000D1B78" w14:paraId="606D1F77" w14:textId="77777777" w:rsidTr="000D1B78">
              <w:trPr>
                <w:trHeight w:val="609"/>
              </w:trPr>
              <w:tc>
                <w:tcPr>
                  <w:tcW w:w="6746" w:type="dxa"/>
                  <w:tcBorders>
                    <w:top w:val="nil"/>
                    <w:left w:val="single" w:sz="4" w:space="0" w:color="auto"/>
                    <w:bottom w:val="single" w:sz="4" w:space="0" w:color="auto"/>
                    <w:right w:val="single" w:sz="4" w:space="0" w:color="auto"/>
                  </w:tcBorders>
                  <w:shd w:val="clear" w:color="auto" w:fill="auto"/>
                  <w:vAlign w:val="center"/>
                  <w:hideMark/>
                </w:tcPr>
                <w:p w14:paraId="48662405" w14:textId="29DB7A11" w:rsidR="0044581C" w:rsidRPr="000D1B78" w:rsidRDefault="0044581C" w:rsidP="0044581C">
                  <w:pPr>
                    <w:spacing w:before="0" w:after="0" w:line="240" w:lineRule="auto"/>
                    <w:rPr>
                      <w:rFonts w:eastAsia="Times New Roman"/>
                      <w:color w:val="000000"/>
                      <w:sz w:val="20"/>
                      <w:szCs w:val="20"/>
                      <w:lang w:eastAsia="lt-LT"/>
                    </w:rPr>
                  </w:pPr>
                  <w:r w:rsidRPr="000D1B78">
                    <w:rPr>
                      <w:rFonts w:eastAsia="Times New Roman"/>
                      <w:color w:val="000000"/>
                      <w:sz w:val="20"/>
                      <w:szCs w:val="20"/>
                      <w:lang w:eastAsia="lt-LT"/>
                    </w:rPr>
                    <w:t>Elektromobilių įkrovimo stotelių, kurių elektromobilių įkrovimo prieigos perduodama elektrinė galia yra didesnė kaip 49 kW, bet ne didesnė kaip 149 kW, įsigijimo ir montavimo darbų išlaidų fiksuotasis vieneto įkainis, kai prieigų skaičius lygus 2 ir daugiau</w:t>
                  </w:r>
                </w:p>
              </w:tc>
              <w:tc>
                <w:tcPr>
                  <w:tcW w:w="1363" w:type="dxa"/>
                  <w:tcBorders>
                    <w:top w:val="nil"/>
                    <w:left w:val="nil"/>
                    <w:bottom w:val="single" w:sz="4" w:space="0" w:color="auto"/>
                    <w:right w:val="single" w:sz="4" w:space="0" w:color="auto"/>
                  </w:tcBorders>
                  <w:shd w:val="clear" w:color="auto" w:fill="auto"/>
                  <w:noWrap/>
                  <w:vAlign w:val="bottom"/>
                  <w:hideMark/>
                </w:tcPr>
                <w:p w14:paraId="2C4EB75E" w14:textId="18E8E402"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39526,79</w:t>
                  </w:r>
                </w:p>
              </w:tc>
              <w:tc>
                <w:tcPr>
                  <w:tcW w:w="1293" w:type="dxa"/>
                  <w:tcBorders>
                    <w:top w:val="nil"/>
                    <w:left w:val="nil"/>
                    <w:bottom w:val="single" w:sz="4" w:space="0" w:color="auto"/>
                    <w:right w:val="single" w:sz="4" w:space="0" w:color="auto"/>
                  </w:tcBorders>
                  <w:shd w:val="clear" w:color="auto" w:fill="auto"/>
                  <w:noWrap/>
                  <w:vAlign w:val="bottom"/>
                  <w:hideMark/>
                </w:tcPr>
                <w:p w14:paraId="62DD575B" w14:textId="397FEBBB"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47827,42</w:t>
                  </w:r>
                </w:p>
              </w:tc>
            </w:tr>
            <w:tr w:rsidR="0044581C" w:rsidRPr="000D1B78" w14:paraId="537256A8" w14:textId="77777777" w:rsidTr="000D1B78">
              <w:trPr>
                <w:trHeight w:val="609"/>
              </w:trPr>
              <w:tc>
                <w:tcPr>
                  <w:tcW w:w="6746" w:type="dxa"/>
                  <w:tcBorders>
                    <w:top w:val="nil"/>
                    <w:left w:val="single" w:sz="4" w:space="0" w:color="auto"/>
                    <w:bottom w:val="single" w:sz="4" w:space="0" w:color="auto"/>
                    <w:right w:val="single" w:sz="4" w:space="0" w:color="auto"/>
                  </w:tcBorders>
                  <w:shd w:val="clear" w:color="auto" w:fill="auto"/>
                  <w:hideMark/>
                </w:tcPr>
                <w:p w14:paraId="555CF72A" w14:textId="60FB5853" w:rsidR="0044581C" w:rsidRPr="000D1B78" w:rsidRDefault="0044581C" w:rsidP="0044581C">
                  <w:pPr>
                    <w:spacing w:before="0" w:after="0" w:line="240" w:lineRule="auto"/>
                    <w:rPr>
                      <w:rFonts w:eastAsia="Times New Roman"/>
                      <w:color w:val="000000"/>
                      <w:sz w:val="20"/>
                      <w:szCs w:val="20"/>
                      <w:lang w:eastAsia="lt-LT"/>
                    </w:rPr>
                  </w:pPr>
                  <w:r w:rsidRPr="000D1B78">
                    <w:rPr>
                      <w:rFonts w:eastAsia="Times New Roman"/>
                      <w:color w:val="000000"/>
                      <w:sz w:val="20"/>
                      <w:szCs w:val="20"/>
                      <w:lang w:eastAsia="lt-LT"/>
                    </w:rPr>
                    <w:t>Elektromobilių įkrovimo stotelių, kurių elektromobilių įkrovimo prieigos perduodama elektrinė galia yra didesnė kaip 149 kW, įsigijimo ir montavimo darbų išlaidų fiksuotasis vieneto įkainis, kai prieigų skaičius lygus 1</w:t>
                  </w:r>
                </w:p>
              </w:tc>
              <w:tc>
                <w:tcPr>
                  <w:tcW w:w="1363" w:type="dxa"/>
                  <w:tcBorders>
                    <w:top w:val="nil"/>
                    <w:left w:val="nil"/>
                    <w:bottom w:val="single" w:sz="4" w:space="0" w:color="auto"/>
                    <w:right w:val="single" w:sz="4" w:space="0" w:color="auto"/>
                  </w:tcBorders>
                  <w:shd w:val="clear" w:color="auto" w:fill="auto"/>
                  <w:noWrap/>
                  <w:vAlign w:val="bottom"/>
                  <w:hideMark/>
                </w:tcPr>
                <w:p w14:paraId="7494627B" w14:textId="7B8337F3"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51615,43</w:t>
                  </w:r>
                </w:p>
              </w:tc>
              <w:tc>
                <w:tcPr>
                  <w:tcW w:w="1293" w:type="dxa"/>
                  <w:tcBorders>
                    <w:top w:val="nil"/>
                    <w:left w:val="nil"/>
                    <w:bottom w:val="single" w:sz="4" w:space="0" w:color="auto"/>
                    <w:right w:val="single" w:sz="4" w:space="0" w:color="auto"/>
                  </w:tcBorders>
                  <w:shd w:val="clear" w:color="auto" w:fill="auto"/>
                  <w:noWrap/>
                  <w:vAlign w:val="bottom"/>
                  <w:hideMark/>
                </w:tcPr>
                <w:p w14:paraId="7B930D4E" w14:textId="74066F5E"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62454,67</w:t>
                  </w:r>
                </w:p>
              </w:tc>
            </w:tr>
            <w:tr w:rsidR="0044581C" w:rsidRPr="000D1B78" w14:paraId="778AF341" w14:textId="77777777" w:rsidTr="000D1B78">
              <w:trPr>
                <w:trHeight w:val="609"/>
              </w:trPr>
              <w:tc>
                <w:tcPr>
                  <w:tcW w:w="6746" w:type="dxa"/>
                  <w:tcBorders>
                    <w:top w:val="nil"/>
                    <w:left w:val="single" w:sz="4" w:space="0" w:color="auto"/>
                    <w:bottom w:val="single" w:sz="4" w:space="0" w:color="auto"/>
                    <w:right w:val="single" w:sz="4" w:space="0" w:color="auto"/>
                  </w:tcBorders>
                  <w:shd w:val="clear" w:color="auto" w:fill="auto"/>
                  <w:vAlign w:val="center"/>
                  <w:hideMark/>
                </w:tcPr>
                <w:p w14:paraId="64734578" w14:textId="307A3E8E" w:rsidR="0044581C" w:rsidRPr="000D1B78" w:rsidRDefault="0044581C" w:rsidP="0044581C">
                  <w:pPr>
                    <w:spacing w:before="0" w:after="0" w:line="240" w:lineRule="auto"/>
                    <w:rPr>
                      <w:rFonts w:eastAsia="Times New Roman"/>
                      <w:color w:val="000000"/>
                      <w:sz w:val="20"/>
                      <w:szCs w:val="20"/>
                      <w:lang w:eastAsia="lt-LT"/>
                    </w:rPr>
                  </w:pPr>
                  <w:r w:rsidRPr="000D1B78">
                    <w:rPr>
                      <w:rFonts w:eastAsia="Times New Roman"/>
                      <w:color w:val="000000"/>
                      <w:sz w:val="20"/>
                      <w:szCs w:val="20"/>
                      <w:lang w:eastAsia="lt-LT"/>
                    </w:rPr>
                    <w:lastRenderedPageBreak/>
                    <w:t>Elektromobilių įkrovimo stotelių, kurių elektromobilių įkrovimo prieigos perduodama elektrinė galia yra didesnė kaip 149 kW, įsigijimo ir montavimo darbų išlaidų fiksuotasis vieneto įkainis, kai prieigų skaičius lygus 2 ir daugiau</w:t>
                  </w:r>
                </w:p>
              </w:tc>
              <w:tc>
                <w:tcPr>
                  <w:tcW w:w="1363" w:type="dxa"/>
                  <w:tcBorders>
                    <w:top w:val="nil"/>
                    <w:left w:val="nil"/>
                    <w:bottom w:val="single" w:sz="4" w:space="0" w:color="auto"/>
                    <w:right w:val="single" w:sz="4" w:space="0" w:color="auto"/>
                  </w:tcBorders>
                  <w:shd w:val="clear" w:color="auto" w:fill="auto"/>
                  <w:noWrap/>
                  <w:vAlign w:val="bottom"/>
                  <w:hideMark/>
                </w:tcPr>
                <w:p w14:paraId="2B8BFCB6" w14:textId="15A58D90"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68485,43</w:t>
                  </w:r>
                </w:p>
              </w:tc>
              <w:tc>
                <w:tcPr>
                  <w:tcW w:w="1293" w:type="dxa"/>
                  <w:tcBorders>
                    <w:top w:val="nil"/>
                    <w:left w:val="nil"/>
                    <w:bottom w:val="single" w:sz="4" w:space="0" w:color="auto"/>
                    <w:right w:val="single" w:sz="4" w:space="0" w:color="auto"/>
                  </w:tcBorders>
                  <w:shd w:val="clear" w:color="auto" w:fill="auto"/>
                  <w:noWrap/>
                  <w:vAlign w:val="bottom"/>
                  <w:hideMark/>
                </w:tcPr>
                <w:p w14:paraId="346A92B5" w14:textId="0B347C5F" w:rsidR="0044581C" w:rsidRPr="00E13B55" w:rsidRDefault="007110B6" w:rsidP="0044581C">
                  <w:pPr>
                    <w:spacing w:before="0" w:after="0" w:line="240" w:lineRule="auto"/>
                    <w:jc w:val="right"/>
                    <w:rPr>
                      <w:rFonts w:eastAsia="Times New Roman"/>
                      <w:sz w:val="20"/>
                      <w:szCs w:val="20"/>
                      <w:lang w:eastAsia="lt-LT"/>
                    </w:rPr>
                  </w:pPr>
                  <w:r w:rsidRPr="00E13B55">
                    <w:rPr>
                      <w:sz w:val="20"/>
                      <w:szCs w:val="20"/>
                    </w:rPr>
                    <w:t>82867,37</w:t>
                  </w:r>
                </w:p>
              </w:tc>
            </w:tr>
          </w:tbl>
          <w:p w14:paraId="7BBE0EAC" w14:textId="66F22D04" w:rsidR="00F01FC4" w:rsidRPr="00F01FC4" w:rsidRDefault="00F01FC4" w:rsidP="00F01FC4">
            <w:pPr>
              <w:spacing w:line="276" w:lineRule="auto"/>
              <w:rPr>
                <w:rFonts w:eastAsiaTheme="minorEastAsia"/>
              </w:rPr>
            </w:pPr>
          </w:p>
        </w:tc>
      </w:tr>
    </w:tbl>
    <w:p w14:paraId="571578DA" w14:textId="77777777" w:rsidR="00EA4302" w:rsidRDefault="00EA4302" w:rsidP="004D0FCF">
      <w:pPr>
        <w:spacing w:line="276" w:lineRule="auto"/>
        <w:ind w:left="851" w:hanging="851"/>
        <w:jc w:val="both"/>
      </w:pPr>
    </w:p>
    <w:p w14:paraId="06F85F85" w14:textId="176349DE" w:rsidR="003E2292" w:rsidRPr="00D62DD8" w:rsidRDefault="003E2292" w:rsidP="004D0FCF">
      <w:pPr>
        <w:spacing w:line="276" w:lineRule="auto"/>
        <w:ind w:left="851" w:hanging="851"/>
        <w:jc w:val="both"/>
      </w:pPr>
      <w:r>
        <w:t>4.</w:t>
      </w:r>
      <w:r>
        <w:tab/>
        <w:t>Paaiškinkite, kaip užtikrinote, kad į fiksuotojo vieneto įkainio, fiksuotosios sumos ar fiksuotosios normos skaičiavimą buvo įtrauktos tik tinkamos finansuoti išlaidos.</w:t>
      </w:r>
    </w:p>
    <w:tbl>
      <w:tblPr>
        <w:tblStyle w:val="TableGrid"/>
        <w:tblW w:w="0" w:type="auto"/>
        <w:tblLook w:val="04A0" w:firstRow="1" w:lastRow="0" w:firstColumn="1" w:lastColumn="0" w:noHBand="0" w:noVBand="1"/>
      </w:tblPr>
      <w:tblGrid>
        <w:gridCol w:w="9628"/>
      </w:tblGrid>
      <w:tr w:rsidR="003E2292" w:rsidRPr="00D62DD8" w14:paraId="0439E6A2" w14:textId="77777777" w:rsidTr="00DA2983">
        <w:tc>
          <w:tcPr>
            <w:tcW w:w="9855" w:type="dxa"/>
          </w:tcPr>
          <w:p w14:paraId="45417D22" w14:textId="77777777" w:rsidR="00F925CD" w:rsidRPr="005F4047" w:rsidRDefault="00F925CD" w:rsidP="00F925CD">
            <w:pPr>
              <w:spacing w:line="276" w:lineRule="auto"/>
              <w:jc w:val="both"/>
            </w:pPr>
            <w:r w:rsidRPr="00FE7D2C">
              <w:t xml:space="preserve">Į fiksuotųjų vieneto įkainių apskaičiavimą įtraukti tik tinkami analizei duomenys, nes rinkos kainų analizės metu atlikti visi </w:t>
            </w:r>
            <w:r w:rsidRPr="005F4047">
              <w:t>būtini veiksmai:</w:t>
            </w:r>
          </w:p>
          <w:p w14:paraId="7C6A538B" w14:textId="613E67E6" w:rsidR="00F925CD" w:rsidRPr="005F4047" w:rsidRDefault="00F925CD" w:rsidP="00F925CD">
            <w:pPr>
              <w:pStyle w:val="ListParagraph"/>
              <w:numPr>
                <w:ilvl w:val="0"/>
                <w:numId w:val="15"/>
              </w:numPr>
              <w:spacing w:line="276" w:lineRule="auto"/>
              <w:jc w:val="both"/>
            </w:pPr>
            <w:r w:rsidRPr="005F4047">
              <w:t>sudarant baigtinį tiekėjų sąrašą, eliminuota dalis įmonių, kuri</w:t>
            </w:r>
            <w:r w:rsidR="001B552E">
              <w:t>ų veiklos sritis neatitiko tyrimo objekto</w:t>
            </w:r>
            <w:r w:rsidRPr="005F4047">
              <w:t xml:space="preserve"> arba nebuvo</w:t>
            </w:r>
            <w:r w:rsidR="001B552E">
              <w:t xml:space="preserve"> nurodyta įmonių kontaktinių duomenų (el. pašto ir el. tinklapio adresų)</w:t>
            </w:r>
            <w:r w:rsidRPr="005F4047">
              <w:t xml:space="preserve">; </w:t>
            </w:r>
          </w:p>
          <w:p w14:paraId="77EB1813" w14:textId="67A39E9B" w:rsidR="001B552E" w:rsidRDefault="00F925CD" w:rsidP="00C346BE">
            <w:pPr>
              <w:pStyle w:val="ListParagraph"/>
              <w:numPr>
                <w:ilvl w:val="0"/>
                <w:numId w:val="15"/>
              </w:numPr>
              <w:spacing w:line="276" w:lineRule="auto"/>
              <w:jc w:val="both"/>
            </w:pPr>
            <w:r w:rsidRPr="005F4047">
              <w:t xml:space="preserve">sudarant klausimyną remtasi teisės aktais, kuriuose nustatomi minimalūs techniniai </w:t>
            </w:r>
            <w:r w:rsidR="00152746">
              <w:t>viešųjų</w:t>
            </w:r>
            <w:r w:rsidR="00D93677">
              <w:t xml:space="preserve"> </w:t>
            </w:r>
            <w:r w:rsidRPr="005F4047">
              <w:t>elektromobilių įkrovimo prieigų įrengimo techniniai reikalavimai</w:t>
            </w:r>
            <w:r w:rsidR="001B552E">
              <w:t>;</w:t>
            </w:r>
          </w:p>
          <w:p w14:paraId="01751882" w14:textId="3DDD966A" w:rsidR="003E2292" w:rsidRPr="00D62DD8" w:rsidRDefault="001B552E" w:rsidP="00C346BE">
            <w:pPr>
              <w:pStyle w:val="ListParagraph"/>
              <w:numPr>
                <w:ilvl w:val="0"/>
                <w:numId w:val="15"/>
              </w:numPr>
              <w:spacing w:line="276" w:lineRule="auto"/>
              <w:jc w:val="both"/>
            </w:pPr>
            <w:r w:rsidRPr="001B552E">
              <w:t xml:space="preserve">panaudojant </w:t>
            </w:r>
            <w:proofErr w:type="spellStart"/>
            <w:r w:rsidRPr="001B552E">
              <w:rPr>
                <w:i/>
                <w:iCs/>
              </w:rPr>
              <w:t>Trimmead</w:t>
            </w:r>
            <w:proofErr w:type="spellEnd"/>
            <w:r w:rsidRPr="001B552E">
              <w:rPr>
                <w:i/>
                <w:iCs/>
              </w:rPr>
              <w:t xml:space="preserve"> </w:t>
            </w:r>
            <w:proofErr w:type="spellStart"/>
            <w:r w:rsidRPr="001B552E">
              <w:rPr>
                <w:i/>
                <w:iCs/>
              </w:rPr>
              <w:t>Mean</w:t>
            </w:r>
            <w:proofErr w:type="spellEnd"/>
            <w:r w:rsidRPr="001B552E">
              <w:t xml:space="preserve"> funkciją, </w:t>
            </w:r>
            <w:r>
              <w:t>pašalintos išskirtys iš montavimo darbų kainų duomenų</w:t>
            </w:r>
            <w:r w:rsidRPr="001B552E">
              <w:t>.</w:t>
            </w:r>
          </w:p>
        </w:tc>
      </w:tr>
    </w:tbl>
    <w:p w14:paraId="2BCE313F" w14:textId="77777777" w:rsidR="00E8279C" w:rsidRDefault="00E8279C" w:rsidP="004D0FCF">
      <w:pPr>
        <w:pStyle w:val="Point0"/>
        <w:spacing w:line="276" w:lineRule="auto"/>
        <w:jc w:val="both"/>
      </w:pPr>
    </w:p>
    <w:p w14:paraId="3C517932" w14:textId="28D26DE2" w:rsidR="003E2292" w:rsidRPr="00D62DD8" w:rsidRDefault="003E2292" w:rsidP="004D0FCF">
      <w:pPr>
        <w:pStyle w:val="Point0"/>
        <w:spacing w:line="276" w:lineRule="auto"/>
        <w:jc w:val="both"/>
      </w:pPr>
      <w:r>
        <w:t>5.</w:t>
      </w:r>
      <w:r>
        <w:tab/>
        <w:t>Audito institucijos (-ų) atliktas skaičiavimo metodų ir sumų įvertinimas ir duomenų tikrinimo, kokybės, rinkimo ir saugojimo užtikrinimo tvarka.</w:t>
      </w:r>
    </w:p>
    <w:tbl>
      <w:tblPr>
        <w:tblStyle w:val="TableGrid"/>
        <w:tblW w:w="0" w:type="auto"/>
        <w:tblLook w:val="04A0" w:firstRow="1" w:lastRow="0" w:firstColumn="1" w:lastColumn="0" w:noHBand="0" w:noVBand="1"/>
      </w:tblPr>
      <w:tblGrid>
        <w:gridCol w:w="9628"/>
      </w:tblGrid>
      <w:tr w:rsidR="003E2292" w:rsidRPr="00D62DD8" w14:paraId="3C541B18" w14:textId="77777777" w:rsidTr="00DA2983">
        <w:tc>
          <w:tcPr>
            <w:tcW w:w="9855" w:type="dxa"/>
          </w:tcPr>
          <w:p w14:paraId="1CA335D0" w14:textId="3859B87E" w:rsidR="003E2292" w:rsidRPr="00DA6EBA" w:rsidRDefault="003E2292" w:rsidP="004D0FCF">
            <w:pPr>
              <w:spacing w:line="276" w:lineRule="auto"/>
              <w:jc w:val="both"/>
            </w:pPr>
          </w:p>
        </w:tc>
      </w:tr>
    </w:tbl>
    <w:p w14:paraId="01A039D8" w14:textId="77777777" w:rsidR="00BE4039" w:rsidRPr="00333383" w:rsidRDefault="00BE4039" w:rsidP="008940C2">
      <w:pPr>
        <w:spacing w:line="276" w:lineRule="auto"/>
      </w:pPr>
    </w:p>
    <w:sectPr w:rsidR="00BE4039" w:rsidRPr="0033338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498F" w14:textId="77777777" w:rsidR="0066532B" w:rsidRDefault="0066532B" w:rsidP="003E2292">
      <w:pPr>
        <w:spacing w:before="0" w:after="0" w:line="240" w:lineRule="auto"/>
      </w:pPr>
      <w:r>
        <w:separator/>
      </w:r>
    </w:p>
  </w:endnote>
  <w:endnote w:type="continuationSeparator" w:id="0">
    <w:p w14:paraId="74F03628" w14:textId="77777777" w:rsidR="0066532B" w:rsidRDefault="0066532B" w:rsidP="003E22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2B23" w14:textId="77777777" w:rsidR="0066532B" w:rsidRDefault="0066532B" w:rsidP="003E2292">
      <w:pPr>
        <w:spacing w:before="0" w:after="0" w:line="240" w:lineRule="auto"/>
      </w:pPr>
      <w:r>
        <w:separator/>
      </w:r>
    </w:p>
  </w:footnote>
  <w:footnote w:type="continuationSeparator" w:id="0">
    <w:p w14:paraId="03E2E639" w14:textId="77777777" w:rsidR="0066532B" w:rsidRDefault="0066532B" w:rsidP="003E2292">
      <w:pPr>
        <w:spacing w:before="0" w:after="0" w:line="240" w:lineRule="auto"/>
      </w:pPr>
      <w:r>
        <w:continuationSeparator/>
      </w:r>
    </w:p>
  </w:footnote>
  <w:footnote w:id="1">
    <w:p w14:paraId="78267C08" w14:textId="5759A047" w:rsidR="00EF47A4" w:rsidRPr="001B3F04" w:rsidRDefault="00EF47A4" w:rsidP="005C5E97">
      <w:pPr>
        <w:pStyle w:val="FootnoteText"/>
        <w:ind w:left="142" w:hanging="142"/>
        <w:jc w:val="both"/>
        <w:rPr>
          <w:bCs/>
          <w:sz w:val="20"/>
        </w:rPr>
      </w:pPr>
      <w:r w:rsidRPr="001B3F04">
        <w:rPr>
          <w:rStyle w:val="FootnoteReference"/>
          <w:bCs/>
          <w:sz w:val="20"/>
        </w:rPr>
        <w:footnoteRef/>
      </w:r>
      <w:r w:rsidR="005C5E97" w:rsidRPr="001B3F04">
        <w:rPr>
          <w:bCs/>
          <w:sz w:val="20"/>
        </w:rPr>
        <w:t xml:space="preserve"> </w:t>
      </w:r>
      <w:r w:rsidRPr="001B3F04">
        <w:rPr>
          <w:bCs/>
          <w:sz w:val="20"/>
        </w:rPr>
        <w:t>Numatoma veiksmų atrankos pradžios data ir numatoma jų užbaigimo galutinė data (nuoroda – 63 straipsnio 5 dalis).</w:t>
      </w:r>
    </w:p>
  </w:footnote>
  <w:footnote w:id="2">
    <w:p w14:paraId="371FBE7B" w14:textId="5E732CB4" w:rsidR="00B527E3" w:rsidRPr="00EF5379" w:rsidRDefault="00B527E3" w:rsidP="00007063">
      <w:pPr>
        <w:pStyle w:val="FootnoteText"/>
        <w:ind w:left="0" w:firstLine="0"/>
        <w:jc w:val="both"/>
        <w:rPr>
          <w:sz w:val="20"/>
        </w:rPr>
      </w:pPr>
      <w:r w:rsidRPr="00EF5379">
        <w:rPr>
          <w:rStyle w:val="FootnoteReference"/>
          <w:sz w:val="20"/>
        </w:rPr>
        <w:footnoteRef/>
      </w:r>
      <w:r w:rsidR="00007063">
        <w:rPr>
          <w:sz w:val="20"/>
        </w:rPr>
        <w:t xml:space="preserve"> </w:t>
      </w:r>
      <w:r w:rsidRPr="00EF5379">
        <w:rPr>
          <w:sz w:val="20"/>
        </w:rPr>
        <w:t>„Naujos kartos Lietuva“ planas priimtas 2021 m. liepos 28 d. Europos Sąjungos Tarybos įgyvendinimo sprendimu dėl</w:t>
      </w:r>
      <w:r w:rsidR="00007063">
        <w:rPr>
          <w:sz w:val="20"/>
        </w:rPr>
        <w:t xml:space="preserve"> </w:t>
      </w:r>
      <w:r w:rsidRPr="00EF5379">
        <w:rPr>
          <w:sz w:val="20"/>
        </w:rPr>
        <w:t>Lietuvos ekonomikos gaivinimo ir atsparumo didinimo plano įvertinimo patvirtinimo.</w:t>
      </w:r>
    </w:p>
  </w:footnote>
  <w:footnote w:id="3">
    <w:p w14:paraId="5356E2BC" w14:textId="77777777" w:rsidR="008C343D" w:rsidRPr="00D93677" w:rsidRDefault="008C343D" w:rsidP="008C343D">
      <w:pPr>
        <w:pStyle w:val="FootnoteText"/>
        <w:ind w:left="0" w:hanging="11"/>
        <w:rPr>
          <w:sz w:val="20"/>
        </w:rPr>
      </w:pPr>
      <w:r w:rsidRPr="00D93677">
        <w:rPr>
          <w:rStyle w:val="FootnoteReference"/>
          <w:sz w:val="20"/>
        </w:rPr>
        <w:footnoteRef/>
      </w:r>
      <w:r>
        <w:rPr>
          <w:sz w:val="20"/>
        </w:rPr>
        <w:t xml:space="preserve"> </w:t>
      </w:r>
      <w:r w:rsidRPr="005C121F">
        <w:rPr>
          <w:sz w:val="20"/>
        </w:rPr>
        <w:t>Viešoji elektromobilių įkrovimo prieiga</w:t>
      </w:r>
      <w:r>
        <w:rPr>
          <w:sz w:val="20"/>
        </w:rPr>
        <w:t xml:space="preserve"> – e</w:t>
      </w:r>
      <w:r w:rsidRPr="00D93677">
        <w:rPr>
          <w:sz w:val="20"/>
        </w:rPr>
        <w:t>lektromobilių įkrovimo prieiga, kuri yra prieinama visiems elektromobilių vairuotojams ir įtraukta į Viešųjų ir pusiau viešųjų elektromobilių įkrovimo prieigų informacinę sistemą</w:t>
      </w:r>
      <w:r>
        <w:rPr>
          <w:sz w:val="20"/>
        </w:rPr>
        <w:t>.</w:t>
      </w:r>
    </w:p>
  </w:footnote>
  <w:footnote w:id="4">
    <w:p w14:paraId="0F580F5C" w14:textId="516C9994" w:rsidR="00366C40" w:rsidRDefault="00366C40" w:rsidP="00C35FDE">
      <w:pPr>
        <w:pStyle w:val="FootnoteText"/>
        <w:ind w:left="0" w:hanging="11"/>
        <w:jc w:val="both"/>
      </w:pPr>
      <w:r w:rsidRPr="00C35FDE">
        <w:rPr>
          <w:rStyle w:val="FootnoteReference"/>
          <w:sz w:val="20"/>
        </w:rPr>
        <w:footnoteRef/>
      </w:r>
      <w:r w:rsidRPr="00C35FDE">
        <w:rPr>
          <w:rStyle w:val="FootnoteReference"/>
          <w:sz w:val="20"/>
        </w:rPr>
        <w:t xml:space="preserve"> </w:t>
      </w:r>
      <w:r w:rsidRPr="00C35FDE">
        <w:rPr>
          <w:sz w:val="20"/>
        </w:rPr>
        <w:t>Pusiau viešoji elektromobilių įkrovimo prieiga – iš dalies vieša elektromobilių įkrovimo prieiga, kuri yra prieinama visiems elektromobilių vairuotojams elektromobilių įkrovimo prieigos operatoriaus nustatytu laiku nustatytoje teritorijoje ir įtraukta į Viešųjų ir pusiau viešųjų elektromobilių įkrovimo prieigų informacinę sistemą.</w:t>
      </w:r>
    </w:p>
  </w:footnote>
  <w:footnote w:id="5">
    <w:p w14:paraId="14794A59" w14:textId="77777777" w:rsidR="00EF47A4" w:rsidRPr="005C5E97" w:rsidRDefault="00EF47A4" w:rsidP="00007063">
      <w:pPr>
        <w:pStyle w:val="FootnoteText"/>
        <w:ind w:left="0" w:firstLine="0"/>
        <w:jc w:val="both"/>
        <w:rPr>
          <w:sz w:val="20"/>
        </w:rPr>
      </w:pPr>
      <w:r w:rsidRPr="001B3F04">
        <w:rPr>
          <w:rStyle w:val="FootnoteReference"/>
          <w:bCs/>
          <w:sz w:val="20"/>
        </w:rPr>
        <w:footnoteRef/>
      </w:r>
      <w:r w:rsidR="005C5E97" w:rsidRPr="001B3F04">
        <w:rPr>
          <w:bCs/>
          <w:sz w:val="20"/>
        </w:rPr>
        <w:t xml:space="preserve"> </w:t>
      </w:r>
      <w:r w:rsidRPr="001B3F04">
        <w:rPr>
          <w:bCs/>
          <w:sz w:val="20"/>
        </w:rPr>
        <w:t>Veiksmų, apim</w:t>
      </w:r>
      <w:r w:rsidRPr="005C5E97">
        <w:rPr>
          <w:sz w:val="20"/>
        </w:rPr>
        <w:t>ančių kelis supaprastinto išlaidų apmokėjimo būdus, skirtingus projektus ar vienas po kito einančius veiksmo etapus, atveju reikia užpildyti 3–11 laukelius kiekvienam rodikliui, kurį pasiekus išlaidos yra atlyginamos.</w:t>
      </w:r>
    </w:p>
  </w:footnote>
  <w:footnote w:id="6">
    <w:p w14:paraId="15F3C85A" w14:textId="36523AC2" w:rsidR="00635B5E" w:rsidRPr="004F3DDC" w:rsidRDefault="00635B5E" w:rsidP="004F3DDC">
      <w:pPr>
        <w:pStyle w:val="FootnoteText"/>
        <w:ind w:left="0" w:firstLine="0"/>
        <w:jc w:val="both"/>
        <w:rPr>
          <w:color w:val="0070C0"/>
          <w:sz w:val="20"/>
        </w:rPr>
      </w:pPr>
      <w:r w:rsidRPr="00E13B55">
        <w:rPr>
          <w:rStyle w:val="FootnoteReference"/>
          <w:sz w:val="20"/>
        </w:rPr>
        <w:footnoteRef/>
      </w:r>
      <w:r w:rsidRPr="00E13B55">
        <w:rPr>
          <w:sz w:val="20"/>
        </w:rPr>
        <w:t xml:space="preserve"> Elektromobilių įkrovimo stotelė – elektros inžinerinis įrenginys, turintis vieną ar daugiau elektromobilių įkrovimo</w:t>
      </w:r>
      <w:r w:rsidR="004F3DDC" w:rsidRPr="00E13B55">
        <w:rPr>
          <w:sz w:val="20"/>
        </w:rPr>
        <w:t xml:space="preserve"> </w:t>
      </w:r>
      <w:r w:rsidRPr="00E13B55">
        <w:rPr>
          <w:sz w:val="20"/>
        </w:rPr>
        <w:t xml:space="preserve">prieigų ir bendrą vartotojo identifikacijos sąsają. Šaltinis: Alternatyviųjų degalų įstatymas </w:t>
      </w:r>
    </w:p>
  </w:footnote>
  <w:footnote w:id="7">
    <w:p w14:paraId="2638D159" w14:textId="6C64C4D8" w:rsidR="009C720B" w:rsidRPr="00347803" w:rsidRDefault="009C720B" w:rsidP="006F3E3A">
      <w:pPr>
        <w:pStyle w:val="FootnoteText"/>
        <w:ind w:left="142" w:hanging="142"/>
        <w:jc w:val="both"/>
        <w:rPr>
          <w:sz w:val="20"/>
        </w:rPr>
      </w:pPr>
      <w:r w:rsidRPr="00347803">
        <w:rPr>
          <w:rStyle w:val="FootnoteReference"/>
          <w:bCs/>
          <w:sz w:val="20"/>
        </w:rPr>
        <w:footnoteRef/>
      </w:r>
      <w:r w:rsidRPr="00347803">
        <w:rPr>
          <w:bCs/>
          <w:sz w:val="20"/>
        </w:rPr>
        <w:tab/>
      </w:r>
      <w:r w:rsidRPr="00347803">
        <w:rPr>
          <w:sz w:val="20"/>
        </w:rPr>
        <w:t>Jei taikytina, nurodykite koregavimo dažnumą ir laiką ir pateikite aiškią nuorodą į konkretų rodiklį (įskaitant saitą į interneto svetainę, kurioje šis rodiklis paskelbtas, jei taikytina).</w:t>
      </w:r>
    </w:p>
  </w:footnote>
  <w:footnote w:id="8">
    <w:p w14:paraId="5F3C0E86" w14:textId="4C832F94" w:rsidR="00812876" w:rsidRDefault="00812876" w:rsidP="00812876">
      <w:pPr>
        <w:pStyle w:val="FootnoteText"/>
        <w:ind w:left="142" w:hanging="142"/>
        <w:jc w:val="both"/>
      </w:pPr>
      <w:r w:rsidRPr="00DB5E38">
        <w:rPr>
          <w:rStyle w:val="FootnoteReference"/>
          <w:sz w:val="20"/>
        </w:rPr>
        <w:footnoteRef/>
      </w:r>
      <w:r w:rsidRPr="00DB5E38">
        <w:rPr>
          <w:sz w:val="20"/>
        </w:rPr>
        <w:t xml:space="preserve"> Vadovaujantis </w:t>
      </w:r>
      <w:r w:rsidR="002F319A" w:rsidRPr="00DB5E38">
        <w:rPr>
          <w:sz w:val="20"/>
        </w:rPr>
        <w:t>Lietuvos Respublikos f</w:t>
      </w:r>
      <w:r w:rsidRPr="00DB5E38">
        <w:rPr>
          <w:sz w:val="20"/>
        </w:rPr>
        <w:t>inansų ministro 2022 m. birželio 22 d. įsakymu Nr. 1K-237 „</w:t>
      </w:r>
      <w:r w:rsidR="009456DC" w:rsidRPr="00DB5E38">
        <w:rPr>
          <w:sz w:val="20"/>
        </w:rPr>
        <w:t xml:space="preserve">Dėl 2021–2027 metų Europos Sąjungos fondų investicijų programos ir </w:t>
      </w:r>
      <w:r w:rsidR="007B41D9" w:rsidRPr="00DB5E38">
        <w:rPr>
          <w:sz w:val="20"/>
        </w:rPr>
        <w:t>E</w:t>
      </w:r>
      <w:r w:rsidR="009456DC" w:rsidRPr="00DB5E38">
        <w:rPr>
          <w:sz w:val="20"/>
        </w:rPr>
        <w:t>konomikos gaivinimo ir atsparumo didinimo plano „Naujos kartos Lietuva“ įgyvendinimo</w:t>
      </w:r>
      <w:r w:rsidRPr="00DB5E38">
        <w:rPr>
          <w:sz w:val="20"/>
        </w:rPr>
        <w:t>“ teikiama veiklos ataskaita, kurios viena iš dalių – mokėjimo prašymas.</w:t>
      </w:r>
    </w:p>
  </w:footnote>
  <w:footnote w:id="9">
    <w:p w14:paraId="0F7598BE" w14:textId="77777777" w:rsidR="00CA0D3A" w:rsidRPr="008922AE" w:rsidRDefault="00CA0D3A" w:rsidP="00CA0D3A">
      <w:pPr>
        <w:pStyle w:val="FootnoteText"/>
        <w:ind w:left="0" w:hanging="11"/>
        <w:jc w:val="both"/>
        <w:rPr>
          <w:color w:val="4472C4" w:themeColor="accent1"/>
        </w:rPr>
      </w:pPr>
      <w:r w:rsidRPr="001B31A0">
        <w:rPr>
          <w:rStyle w:val="FootnoteReference"/>
          <w:sz w:val="20"/>
        </w:rPr>
        <w:footnoteRef/>
      </w:r>
      <w:r w:rsidRPr="001B31A0">
        <w:rPr>
          <w:sz w:val="20"/>
        </w:rPr>
        <w:t xml:space="preserve"> </w:t>
      </w:r>
      <w:r w:rsidRPr="00644E83">
        <w:rPr>
          <w:sz w:val="20"/>
        </w:rPr>
        <w:t>Šaltinis:</w:t>
      </w:r>
      <w:r>
        <w:t xml:space="preserve"> </w:t>
      </w:r>
      <w:hyperlink r:id="rId1" w:history="1">
        <w:r w:rsidRPr="00644E83">
          <w:rPr>
            <w:rStyle w:val="Hyperlink"/>
            <w:sz w:val="20"/>
          </w:rPr>
          <w:t>https://www.e-tar.lt/portal/lt/legalAct/14e33320f1ed11ec8fa7d02a65c371ad</w:t>
        </w:r>
      </w:hyperlink>
      <w:r>
        <w:t xml:space="preserve"> </w:t>
      </w:r>
    </w:p>
  </w:footnote>
  <w:footnote w:id="10">
    <w:p w14:paraId="61C81AA3" w14:textId="77777777" w:rsidR="009C720B" w:rsidRPr="00B2505D" w:rsidRDefault="009C720B" w:rsidP="003A3ECA">
      <w:pPr>
        <w:pStyle w:val="FootnoteText"/>
        <w:ind w:left="142" w:hanging="142"/>
        <w:jc w:val="both"/>
        <w:rPr>
          <w:sz w:val="20"/>
        </w:rPr>
      </w:pPr>
      <w:r w:rsidRPr="00250402">
        <w:rPr>
          <w:rStyle w:val="FootnoteReference"/>
          <w:sz w:val="20"/>
        </w:rPr>
        <w:footnoteRef/>
      </w:r>
      <w:r w:rsidRPr="00250402">
        <w:rPr>
          <w:sz w:val="20"/>
        </w:rPr>
        <w:t>Ar yra kokių nors galimų neigiamų pasekmių remiamų veiksmų kokybei ir, jei taip, kokių priemonių (pvz., kokybės užtikrinimo</w:t>
      </w:r>
      <w:r w:rsidRPr="00A458FE">
        <w:rPr>
          <w:sz w:val="20"/>
        </w:rPr>
        <w:t>) bus imtasi</w:t>
      </w:r>
      <w:r w:rsidRPr="00B2505D">
        <w:rPr>
          <w:sz w:val="20"/>
        </w:rPr>
        <w:t xml:space="preserve"> šiai rizikai kompensuoti?</w:t>
      </w:r>
    </w:p>
  </w:footnote>
  <w:footnote w:id="11">
    <w:p w14:paraId="0C3B30A7" w14:textId="546C0C6B" w:rsidR="004952BE" w:rsidRPr="001C040A" w:rsidRDefault="004952BE" w:rsidP="004952BE">
      <w:pPr>
        <w:pStyle w:val="FootnoteText"/>
        <w:ind w:left="709" w:hanging="709"/>
        <w:rPr>
          <w:sz w:val="20"/>
        </w:rPr>
      </w:pPr>
      <w:r w:rsidRPr="001C040A">
        <w:rPr>
          <w:rStyle w:val="FootnoteReference"/>
          <w:sz w:val="20"/>
        </w:rPr>
        <w:footnoteRef/>
      </w:r>
      <w:r>
        <w:rPr>
          <w:sz w:val="20"/>
        </w:rPr>
        <w:tab/>
      </w:r>
      <w:r w:rsidRPr="004952BE">
        <w:rPr>
          <w:sz w:val="20"/>
        </w:rPr>
        <w:t xml:space="preserve">Šaltinis: </w:t>
      </w:r>
      <w:hyperlink r:id="rId2" w:history="1">
        <w:r w:rsidRPr="0041145E">
          <w:rPr>
            <w:rStyle w:val="Hyperlink"/>
            <w:sz w:val="20"/>
          </w:rPr>
          <w:t>https://eurlex.europa.eu/legalcontent/EN/TXT/?uri=uriserv%3AOJ.C_.2021.200.01.0001.01.ENG&amp;toc=OJ%3AC%3A2021%3A200%3ATOC</w:t>
        </w:r>
      </w:hyperlink>
      <w:r w:rsidRPr="001C040A">
        <w:rPr>
          <w:sz w:val="20"/>
        </w:rPr>
        <w:t xml:space="preserve"> </w:t>
      </w:r>
    </w:p>
  </w:footnote>
  <w:footnote w:id="12">
    <w:p w14:paraId="242173C4" w14:textId="63DDA4C8" w:rsidR="001B40F5" w:rsidRPr="00E13B55" w:rsidRDefault="001B40F5" w:rsidP="001B40F5">
      <w:pPr>
        <w:pStyle w:val="FootnoteText"/>
        <w:jc w:val="both"/>
        <w:rPr>
          <w:sz w:val="20"/>
        </w:rPr>
      </w:pPr>
      <w:r w:rsidRPr="00E13B55">
        <w:rPr>
          <w:rStyle w:val="FootnoteReference"/>
          <w:sz w:val="20"/>
        </w:rPr>
        <w:footnoteRef/>
      </w:r>
      <w:r w:rsidRPr="00E13B55">
        <w:rPr>
          <w:sz w:val="20"/>
        </w:rPr>
        <w:tab/>
        <w:t>Kardelis, K. (2016). Mokslinių tyrimų metodologija ir metodai. Vilnius: Mokslo ir enciklopedijų leidybos centras. 488 p.</w:t>
      </w:r>
    </w:p>
  </w:footnote>
  <w:footnote w:id="13">
    <w:p w14:paraId="0E8FC82A" w14:textId="4FDE2C90" w:rsidR="00387B74" w:rsidRPr="009512C6" w:rsidRDefault="00387B74" w:rsidP="00387B74">
      <w:pPr>
        <w:spacing w:before="0" w:after="0" w:line="240" w:lineRule="auto"/>
        <w:ind w:left="709" w:hanging="709"/>
        <w:jc w:val="both"/>
        <w:rPr>
          <w:rFonts w:eastAsia="Times New Roman"/>
          <w:sz w:val="20"/>
          <w:szCs w:val="20"/>
        </w:rPr>
      </w:pPr>
      <w:r w:rsidRPr="009512C6">
        <w:rPr>
          <w:rStyle w:val="FootnoteReference"/>
          <w:sz w:val="20"/>
          <w:szCs w:val="20"/>
        </w:rPr>
        <w:footnoteRef/>
      </w:r>
      <w:r w:rsidRPr="009512C6">
        <w:rPr>
          <w:sz w:val="20"/>
          <w:szCs w:val="20"/>
        </w:rPr>
        <w:tab/>
      </w:r>
      <w:hyperlink r:id="rId3" w:history="1">
        <w:r w:rsidRPr="009512C6">
          <w:rPr>
            <w:rStyle w:val="Hyperlink"/>
            <w:rFonts w:eastAsia="Times New Roman"/>
            <w:sz w:val="20"/>
            <w:szCs w:val="20"/>
          </w:rPr>
          <w:t>Alternatyviųjų degalų įstatymas;</w:t>
        </w:r>
      </w:hyperlink>
      <w:r w:rsidRPr="009512C6">
        <w:rPr>
          <w:rFonts w:eastAsia="Times New Roman"/>
          <w:sz w:val="20"/>
          <w:szCs w:val="20"/>
        </w:rPr>
        <w:t xml:space="preserve"> </w:t>
      </w:r>
      <w:hyperlink r:id="rId4" w:history="1">
        <w:r w:rsidRPr="009512C6">
          <w:rPr>
            <w:rStyle w:val="Hyperlink"/>
            <w:rFonts w:eastAsia="Times New Roman"/>
            <w:sz w:val="20"/>
            <w:szCs w:val="20"/>
          </w:rPr>
          <w:t>Elektros įrenginių įrengimo bendrosios taisyklės;</w:t>
        </w:r>
      </w:hyperlink>
      <w:r w:rsidRPr="009512C6">
        <w:rPr>
          <w:rFonts w:eastAsia="Times New Roman"/>
          <w:sz w:val="20"/>
          <w:szCs w:val="20"/>
        </w:rPr>
        <w:t xml:space="preserve"> </w:t>
      </w:r>
      <w:hyperlink r:id="rId5" w:history="1">
        <w:r w:rsidR="00D15CEB" w:rsidRPr="00D15CEB">
          <w:rPr>
            <w:rStyle w:val="Hyperlink"/>
            <w:rFonts w:eastAsia="Times New Roman"/>
            <w:sz w:val="20"/>
            <w:szCs w:val="20"/>
          </w:rPr>
          <w:t>Elektromobilių naudojimo ir elektromobilių įkrovimo infrastruktūros plėtros veiksmų planas</w:t>
        </w:r>
      </w:hyperlink>
      <w:r w:rsidR="00D15CEB">
        <w:rPr>
          <w:rFonts w:eastAsia="Times New Roman"/>
          <w:sz w:val="20"/>
          <w:szCs w:val="20"/>
        </w:rPr>
        <w:t>.</w:t>
      </w:r>
    </w:p>
  </w:footnote>
  <w:footnote w:id="14">
    <w:p w14:paraId="1848B33C" w14:textId="04DEDB31" w:rsidR="003F4AF9" w:rsidRPr="003F4AF9" w:rsidRDefault="003F4AF9" w:rsidP="00DD5B65">
      <w:pPr>
        <w:pStyle w:val="FootnoteText"/>
        <w:ind w:left="0" w:hanging="11"/>
        <w:jc w:val="both"/>
        <w:rPr>
          <w:sz w:val="20"/>
        </w:rPr>
      </w:pPr>
      <w:r w:rsidRPr="003F4AF9">
        <w:rPr>
          <w:rStyle w:val="FootnoteReference"/>
          <w:sz w:val="20"/>
        </w:rPr>
        <w:footnoteRef/>
      </w:r>
      <w:r w:rsidR="00663241">
        <w:rPr>
          <w:sz w:val="20"/>
        </w:rPr>
        <w:t xml:space="preserve"> </w:t>
      </w:r>
      <w:r w:rsidRPr="003F4AF9">
        <w:rPr>
          <w:sz w:val="20"/>
        </w:rPr>
        <w:t>Elektromobilių įkrovimo stotelės sumontavimo, pajungimo ir derinimo darbų išlaidos, išskyrus prijungimo prie įvado išlaidas, kurias kompensuoja ESO.</w:t>
      </w:r>
    </w:p>
  </w:footnote>
  <w:footnote w:id="15">
    <w:p w14:paraId="222DC6E1" w14:textId="77777777" w:rsidR="000D1B78" w:rsidRPr="00694AA3" w:rsidRDefault="000D1B78" w:rsidP="000D1B78">
      <w:pPr>
        <w:pStyle w:val="FootnoteText"/>
        <w:rPr>
          <w:sz w:val="20"/>
        </w:rPr>
      </w:pPr>
      <w:r w:rsidRPr="00694AA3">
        <w:rPr>
          <w:rStyle w:val="FootnoteReference"/>
          <w:sz w:val="20"/>
        </w:rPr>
        <w:footnoteRef/>
      </w:r>
      <w:r>
        <w:rPr>
          <w:sz w:val="20"/>
        </w:rPr>
        <w:tab/>
      </w:r>
      <w:r w:rsidRPr="00694AA3">
        <w:rPr>
          <w:sz w:val="20"/>
        </w:rPr>
        <w:t>PVM tarifas – 21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D597" w14:textId="5D04B29D" w:rsidR="008D1789" w:rsidRDefault="00152746" w:rsidP="006F3E3A">
    <w:pPr>
      <w:tabs>
        <w:tab w:val="center" w:pos="4819"/>
        <w:tab w:val="right" w:pos="9638"/>
      </w:tabs>
      <w:spacing w:before="0" w:after="0" w:line="240" w:lineRule="auto"/>
      <w:ind w:firstLine="2694"/>
      <w:jc w:val="right"/>
      <w:rPr>
        <w:rFonts w:ascii="Calibri" w:eastAsia="Calibri" w:hAnsi="Calibri"/>
        <w:kern w:val="16"/>
        <w:sz w:val="21"/>
        <w:szCs w:val="21"/>
      </w:rPr>
    </w:pPr>
    <w:bookmarkStart w:id="0" w:name="_Hlk113863157"/>
    <w:r>
      <w:rPr>
        <w:rFonts w:ascii="Calibri" w:eastAsia="Calibri" w:hAnsi="Calibri"/>
        <w:kern w:val="16"/>
        <w:sz w:val="21"/>
        <w:szCs w:val="21"/>
      </w:rPr>
      <w:t>Viešųjų e</w:t>
    </w:r>
    <w:r w:rsidR="00241B09">
      <w:rPr>
        <w:rFonts w:ascii="Calibri" w:eastAsia="Calibri" w:hAnsi="Calibri"/>
        <w:kern w:val="16"/>
        <w:sz w:val="21"/>
        <w:szCs w:val="21"/>
      </w:rPr>
      <w:t xml:space="preserve">lektromobilių įkrovimo prieigų įrengimo </w:t>
    </w:r>
    <w:r w:rsidR="00475CB7" w:rsidRPr="00475CB7">
      <w:rPr>
        <w:rFonts w:ascii="Calibri" w:eastAsia="Calibri" w:hAnsi="Calibri"/>
        <w:kern w:val="16"/>
        <w:sz w:val="21"/>
        <w:szCs w:val="21"/>
      </w:rPr>
      <w:t xml:space="preserve">išlaidų </w:t>
    </w:r>
  </w:p>
  <w:p w14:paraId="27789EA4" w14:textId="2A76F63C" w:rsidR="00475CB7" w:rsidRDefault="00475CB7" w:rsidP="008D1789">
    <w:pPr>
      <w:tabs>
        <w:tab w:val="center" w:pos="4819"/>
        <w:tab w:val="right" w:pos="9638"/>
      </w:tabs>
      <w:spacing w:before="0" w:after="0" w:line="240" w:lineRule="auto"/>
      <w:ind w:firstLine="2694"/>
      <w:jc w:val="right"/>
      <w:rPr>
        <w:rFonts w:ascii="Calibri" w:eastAsia="Calibri" w:hAnsi="Calibri"/>
        <w:kern w:val="16"/>
        <w:sz w:val="21"/>
        <w:szCs w:val="21"/>
      </w:rPr>
    </w:pPr>
    <w:r w:rsidRPr="00475CB7">
      <w:rPr>
        <w:rFonts w:ascii="Calibri" w:eastAsia="Calibri" w:hAnsi="Calibri"/>
        <w:kern w:val="16"/>
        <w:sz w:val="21"/>
        <w:szCs w:val="21"/>
      </w:rPr>
      <w:t>fiksuot</w:t>
    </w:r>
    <w:r w:rsidR="00FC418A">
      <w:rPr>
        <w:rFonts w:ascii="Calibri" w:eastAsia="Calibri" w:hAnsi="Calibri"/>
        <w:kern w:val="16"/>
        <w:sz w:val="21"/>
        <w:szCs w:val="21"/>
      </w:rPr>
      <w:t>ųjų</w:t>
    </w:r>
    <w:r w:rsidRPr="00475CB7">
      <w:rPr>
        <w:rFonts w:ascii="Calibri" w:eastAsia="Calibri" w:hAnsi="Calibri"/>
        <w:kern w:val="16"/>
        <w:sz w:val="21"/>
        <w:szCs w:val="21"/>
      </w:rPr>
      <w:t xml:space="preserve"> </w:t>
    </w:r>
    <w:r w:rsidR="004D397D">
      <w:rPr>
        <w:rFonts w:ascii="Calibri" w:eastAsia="Calibri" w:hAnsi="Calibri"/>
        <w:kern w:val="16"/>
        <w:sz w:val="21"/>
        <w:szCs w:val="21"/>
      </w:rPr>
      <w:t>vieneto</w:t>
    </w:r>
    <w:r w:rsidR="006F3E3A">
      <w:rPr>
        <w:rFonts w:ascii="Calibri" w:eastAsia="Calibri" w:hAnsi="Calibri"/>
        <w:kern w:val="16"/>
        <w:sz w:val="21"/>
        <w:szCs w:val="21"/>
      </w:rPr>
      <w:t xml:space="preserve"> </w:t>
    </w:r>
    <w:r w:rsidRPr="00475CB7">
      <w:rPr>
        <w:rFonts w:ascii="Calibri" w:eastAsia="Calibri" w:hAnsi="Calibri"/>
        <w:kern w:val="16"/>
        <w:sz w:val="21"/>
        <w:szCs w:val="21"/>
      </w:rPr>
      <w:t>įkaini</w:t>
    </w:r>
    <w:r w:rsidR="00FC418A">
      <w:rPr>
        <w:rFonts w:ascii="Calibri" w:eastAsia="Calibri" w:hAnsi="Calibri"/>
        <w:kern w:val="16"/>
        <w:sz w:val="21"/>
        <w:szCs w:val="21"/>
      </w:rPr>
      <w:t xml:space="preserve">ų </w:t>
    </w:r>
    <w:r w:rsidRPr="00475CB7">
      <w:rPr>
        <w:rFonts w:ascii="Calibri" w:eastAsia="Calibri" w:hAnsi="Calibri"/>
        <w:kern w:val="16"/>
        <w:sz w:val="21"/>
        <w:szCs w:val="21"/>
      </w:rPr>
      <w:t>nustatymo tyrimas</w:t>
    </w:r>
  </w:p>
  <w:bookmarkEnd w:id="0"/>
  <w:p w14:paraId="433EE534" w14:textId="15E05E91" w:rsidR="00C26DCA" w:rsidRPr="00AE47FC" w:rsidRDefault="00C26DCA" w:rsidP="00AE47FC">
    <w:pPr>
      <w:tabs>
        <w:tab w:val="center" w:pos="4819"/>
        <w:tab w:val="right" w:pos="9638"/>
      </w:tabs>
      <w:spacing w:before="0" w:after="0" w:line="240" w:lineRule="auto"/>
      <w:ind w:firstLine="2694"/>
      <w:jc w:val="right"/>
      <w:rPr>
        <w:rFonts w:ascii="Calibri" w:eastAsia="Calibri" w:hAnsi="Calibri"/>
        <w:kern w:val="16"/>
        <w:sz w:val="21"/>
        <w:szCs w:val="21"/>
      </w:rPr>
    </w:pPr>
    <w:r w:rsidRPr="004D0F7E">
      <w:rPr>
        <w:rFonts w:ascii="Calibri" w:eastAsia="Calibri" w:hAnsi="Calibri"/>
        <w:kern w:val="16"/>
        <w:sz w:val="21"/>
        <w:szCs w:val="21"/>
      </w:rPr>
      <w:t>202</w:t>
    </w:r>
    <w:r w:rsidR="00AE47FC">
      <w:rPr>
        <w:rFonts w:ascii="Calibri" w:eastAsia="Calibri" w:hAnsi="Calibri"/>
        <w:kern w:val="16"/>
        <w:sz w:val="21"/>
        <w:szCs w:val="21"/>
      </w:rPr>
      <w:t>3</w:t>
    </w:r>
    <w:r w:rsidRPr="004D0F7E">
      <w:rPr>
        <w:rFonts w:ascii="Calibri" w:eastAsia="Calibri" w:hAnsi="Calibri"/>
        <w:kern w:val="16"/>
        <w:sz w:val="21"/>
        <w:szCs w:val="21"/>
      </w:rPr>
      <w:t xml:space="preserve"> m.</w:t>
    </w:r>
    <w:r w:rsidR="0041198B">
      <w:rPr>
        <w:rFonts w:ascii="Calibri" w:eastAsia="Calibri" w:hAnsi="Calibri"/>
        <w:kern w:val="16"/>
        <w:sz w:val="21"/>
        <w:szCs w:val="21"/>
      </w:rPr>
      <w:t xml:space="preserve"> </w:t>
    </w:r>
    <w:r w:rsidR="008A5BBF">
      <w:rPr>
        <w:rFonts w:ascii="Calibri" w:eastAsia="Calibri" w:hAnsi="Calibri"/>
        <w:kern w:val="16"/>
        <w:sz w:val="21"/>
        <w:szCs w:val="21"/>
      </w:rPr>
      <w:t>gegužės 17</w:t>
    </w:r>
    <w:r w:rsidR="00241B09">
      <w:rPr>
        <w:rFonts w:ascii="Calibri" w:eastAsia="Calibri" w:hAnsi="Calibri"/>
        <w:kern w:val="16"/>
        <w:sz w:val="21"/>
        <w:szCs w:val="21"/>
      </w:rPr>
      <w:t xml:space="preserve"> </w:t>
    </w:r>
    <w:r w:rsidRPr="004D0F7E">
      <w:rPr>
        <w:rFonts w:ascii="Calibri" w:eastAsia="Calibri" w:hAnsi="Calibri"/>
        <w:kern w:val="16"/>
        <w:sz w:val="21"/>
        <w:szCs w:val="21"/>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0BA"/>
    <w:multiLevelType w:val="hybridMultilevel"/>
    <w:tmpl w:val="D1C4D4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F1084"/>
    <w:multiLevelType w:val="hybridMultilevel"/>
    <w:tmpl w:val="A1281114"/>
    <w:lvl w:ilvl="0" w:tplc="5A0ABA3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8949FA"/>
    <w:multiLevelType w:val="hybridMultilevel"/>
    <w:tmpl w:val="97A652BC"/>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3" w15:restartNumberingAfterBreak="0">
    <w:nsid w:val="2D891D9F"/>
    <w:multiLevelType w:val="hybridMultilevel"/>
    <w:tmpl w:val="187EDBD6"/>
    <w:lvl w:ilvl="0" w:tplc="C7A0DEC8">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94479C"/>
    <w:multiLevelType w:val="hybridMultilevel"/>
    <w:tmpl w:val="CC94E1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780C4E"/>
    <w:multiLevelType w:val="hybridMultilevel"/>
    <w:tmpl w:val="450AF1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8767E4"/>
    <w:multiLevelType w:val="hybridMultilevel"/>
    <w:tmpl w:val="E4120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074139"/>
    <w:multiLevelType w:val="hybridMultilevel"/>
    <w:tmpl w:val="D92896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50C34"/>
    <w:multiLevelType w:val="hybridMultilevel"/>
    <w:tmpl w:val="BF3AABF8"/>
    <w:lvl w:ilvl="0" w:tplc="7CBA50C4">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EDB5C54"/>
    <w:multiLevelType w:val="hybridMultilevel"/>
    <w:tmpl w:val="AF8AD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AA15EA"/>
    <w:multiLevelType w:val="hybridMultilevel"/>
    <w:tmpl w:val="D4DEE27E"/>
    <w:lvl w:ilvl="0" w:tplc="7CBA50C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0C2700"/>
    <w:multiLevelType w:val="hybridMultilevel"/>
    <w:tmpl w:val="67549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46558E"/>
    <w:multiLevelType w:val="hybridMultilevel"/>
    <w:tmpl w:val="16BA2900"/>
    <w:lvl w:ilvl="0" w:tplc="04270017">
      <w:start w:val="1"/>
      <w:numFmt w:val="lowerLetter"/>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57189C"/>
    <w:multiLevelType w:val="hybridMultilevel"/>
    <w:tmpl w:val="4CAE0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CC0E1D"/>
    <w:multiLevelType w:val="hybridMultilevel"/>
    <w:tmpl w:val="F3BAA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824525"/>
    <w:multiLevelType w:val="hybridMultilevel"/>
    <w:tmpl w:val="5DCAAA2C"/>
    <w:lvl w:ilvl="0" w:tplc="53FC47D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4A65D89"/>
    <w:multiLevelType w:val="hybridMultilevel"/>
    <w:tmpl w:val="8A78B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BC1167"/>
    <w:multiLevelType w:val="hybridMultilevel"/>
    <w:tmpl w:val="C2DAB7AE"/>
    <w:lvl w:ilvl="0" w:tplc="5A0ABA3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434002"/>
    <w:multiLevelType w:val="hybridMultilevel"/>
    <w:tmpl w:val="89B8B8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335292">
    <w:abstractNumId w:val="2"/>
  </w:num>
  <w:num w:numId="2" w16cid:durableId="348609043">
    <w:abstractNumId w:val="7"/>
  </w:num>
  <w:num w:numId="3" w16cid:durableId="1240477505">
    <w:abstractNumId w:val="8"/>
  </w:num>
  <w:num w:numId="4" w16cid:durableId="786200705">
    <w:abstractNumId w:val="0"/>
  </w:num>
  <w:num w:numId="5" w16cid:durableId="2049521947">
    <w:abstractNumId w:val="4"/>
  </w:num>
  <w:num w:numId="6" w16cid:durableId="630983749">
    <w:abstractNumId w:val="13"/>
  </w:num>
  <w:num w:numId="7" w16cid:durableId="1574654478">
    <w:abstractNumId w:val="15"/>
  </w:num>
  <w:num w:numId="8" w16cid:durableId="826171837">
    <w:abstractNumId w:val="10"/>
  </w:num>
  <w:num w:numId="9" w16cid:durableId="1568956681">
    <w:abstractNumId w:val="18"/>
  </w:num>
  <w:num w:numId="10" w16cid:durableId="554434713">
    <w:abstractNumId w:val="16"/>
  </w:num>
  <w:num w:numId="11" w16cid:durableId="1581985641">
    <w:abstractNumId w:val="5"/>
  </w:num>
  <w:num w:numId="12" w16cid:durableId="1487476618">
    <w:abstractNumId w:val="12"/>
  </w:num>
  <w:num w:numId="13" w16cid:durableId="981733317">
    <w:abstractNumId w:val="3"/>
  </w:num>
  <w:num w:numId="14" w16cid:durableId="1132213722">
    <w:abstractNumId w:val="17"/>
  </w:num>
  <w:num w:numId="15" w16cid:durableId="1038748038">
    <w:abstractNumId w:val="1"/>
  </w:num>
  <w:num w:numId="16" w16cid:durableId="898515504">
    <w:abstractNumId w:val="11"/>
  </w:num>
  <w:num w:numId="17" w16cid:durableId="1699309915">
    <w:abstractNumId w:val="14"/>
  </w:num>
  <w:num w:numId="18" w16cid:durableId="1034111649">
    <w:abstractNumId w:val="9"/>
  </w:num>
  <w:num w:numId="19" w16cid:durableId="67083984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860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71"/>
    <w:rsid w:val="000003C9"/>
    <w:rsid w:val="00000AA3"/>
    <w:rsid w:val="000013FA"/>
    <w:rsid w:val="00002CFB"/>
    <w:rsid w:val="00003ACA"/>
    <w:rsid w:val="000049F4"/>
    <w:rsid w:val="00004A7E"/>
    <w:rsid w:val="000053CA"/>
    <w:rsid w:val="00007063"/>
    <w:rsid w:val="00007967"/>
    <w:rsid w:val="0001010A"/>
    <w:rsid w:val="000126EA"/>
    <w:rsid w:val="000129B4"/>
    <w:rsid w:val="00015829"/>
    <w:rsid w:val="00015C55"/>
    <w:rsid w:val="00016B1C"/>
    <w:rsid w:val="00020359"/>
    <w:rsid w:val="00021D4E"/>
    <w:rsid w:val="00022A84"/>
    <w:rsid w:val="00023366"/>
    <w:rsid w:val="00024980"/>
    <w:rsid w:val="000252F3"/>
    <w:rsid w:val="000258DA"/>
    <w:rsid w:val="00025E5D"/>
    <w:rsid w:val="00026493"/>
    <w:rsid w:val="00026FCD"/>
    <w:rsid w:val="000274EC"/>
    <w:rsid w:val="00027B73"/>
    <w:rsid w:val="00027E5D"/>
    <w:rsid w:val="00030678"/>
    <w:rsid w:val="000311D5"/>
    <w:rsid w:val="000313FD"/>
    <w:rsid w:val="0003193B"/>
    <w:rsid w:val="00031A60"/>
    <w:rsid w:val="00032169"/>
    <w:rsid w:val="0003259D"/>
    <w:rsid w:val="000337EE"/>
    <w:rsid w:val="00034DCA"/>
    <w:rsid w:val="00035AE2"/>
    <w:rsid w:val="00036854"/>
    <w:rsid w:val="00037875"/>
    <w:rsid w:val="00040ED6"/>
    <w:rsid w:val="000417CB"/>
    <w:rsid w:val="0004293F"/>
    <w:rsid w:val="000442F7"/>
    <w:rsid w:val="000447E7"/>
    <w:rsid w:val="00046600"/>
    <w:rsid w:val="000479E1"/>
    <w:rsid w:val="0005086D"/>
    <w:rsid w:val="00050D8A"/>
    <w:rsid w:val="00053A1C"/>
    <w:rsid w:val="00056176"/>
    <w:rsid w:val="000575C4"/>
    <w:rsid w:val="00057D3B"/>
    <w:rsid w:val="00062387"/>
    <w:rsid w:val="00064DBF"/>
    <w:rsid w:val="000652F6"/>
    <w:rsid w:val="00065872"/>
    <w:rsid w:val="00065E28"/>
    <w:rsid w:val="000670D2"/>
    <w:rsid w:val="0007102D"/>
    <w:rsid w:val="0007120A"/>
    <w:rsid w:val="000724BA"/>
    <w:rsid w:val="00072F8E"/>
    <w:rsid w:val="000732F4"/>
    <w:rsid w:val="00075F1F"/>
    <w:rsid w:val="00076687"/>
    <w:rsid w:val="000774C0"/>
    <w:rsid w:val="00080156"/>
    <w:rsid w:val="000809D1"/>
    <w:rsid w:val="00081433"/>
    <w:rsid w:val="0008220E"/>
    <w:rsid w:val="00083613"/>
    <w:rsid w:val="00083D84"/>
    <w:rsid w:val="00084064"/>
    <w:rsid w:val="00085DE4"/>
    <w:rsid w:val="00086FCB"/>
    <w:rsid w:val="000902B6"/>
    <w:rsid w:val="00090EDA"/>
    <w:rsid w:val="000913F1"/>
    <w:rsid w:val="0009365D"/>
    <w:rsid w:val="00094EE7"/>
    <w:rsid w:val="0009524D"/>
    <w:rsid w:val="00095D57"/>
    <w:rsid w:val="000961EC"/>
    <w:rsid w:val="000A0D2C"/>
    <w:rsid w:val="000A23CB"/>
    <w:rsid w:val="000A2A66"/>
    <w:rsid w:val="000A2AEA"/>
    <w:rsid w:val="000A32CE"/>
    <w:rsid w:val="000A450C"/>
    <w:rsid w:val="000A5471"/>
    <w:rsid w:val="000A594B"/>
    <w:rsid w:val="000A7606"/>
    <w:rsid w:val="000A7BFD"/>
    <w:rsid w:val="000B0C78"/>
    <w:rsid w:val="000B0D52"/>
    <w:rsid w:val="000B170D"/>
    <w:rsid w:val="000B214F"/>
    <w:rsid w:val="000B26D8"/>
    <w:rsid w:val="000B3663"/>
    <w:rsid w:val="000B3C81"/>
    <w:rsid w:val="000B581B"/>
    <w:rsid w:val="000B5904"/>
    <w:rsid w:val="000B5E11"/>
    <w:rsid w:val="000B5EF8"/>
    <w:rsid w:val="000B64C3"/>
    <w:rsid w:val="000B7386"/>
    <w:rsid w:val="000C1B9E"/>
    <w:rsid w:val="000C2E0B"/>
    <w:rsid w:val="000C32B3"/>
    <w:rsid w:val="000C3986"/>
    <w:rsid w:val="000C626D"/>
    <w:rsid w:val="000C6375"/>
    <w:rsid w:val="000C6C60"/>
    <w:rsid w:val="000C6FA0"/>
    <w:rsid w:val="000C750C"/>
    <w:rsid w:val="000D15A3"/>
    <w:rsid w:val="000D1B78"/>
    <w:rsid w:val="000D1D5A"/>
    <w:rsid w:val="000D1DE8"/>
    <w:rsid w:val="000D27E7"/>
    <w:rsid w:val="000D2870"/>
    <w:rsid w:val="000D3AA7"/>
    <w:rsid w:val="000D4E90"/>
    <w:rsid w:val="000D6117"/>
    <w:rsid w:val="000D6872"/>
    <w:rsid w:val="000D73EA"/>
    <w:rsid w:val="000D7548"/>
    <w:rsid w:val="000D770F"/>
    <w:rsid w:val="000D78E6"/>
    <w:rsid w:val="000D7D6F"/>
    <w:rsid w:val="000E0361"/>
    <w:rsid w:val="000E09D3"/>
    <w:rsid w:val="000E1731"/>
    <w:rsid w:val="000E205A"/>
    <w:rsid w:val="000E20DB"/>
    <w:rsid w:val="000E2713"/>
    <w:rsid w:val="000E3A8C"/>
    <w:rsid w:val="000E62D8"/>
    <w:rsid w:val="000E6D59"/>
    <w:rsid w:val="000E7290"/>
    <w:rsid w:val="000E7CFB"/>
    <w:rsid w:val="000F24C1"/>
    <w:rsid w:val="000F3BBE"/>
    <w:rsid w:val="000F3EB8"/>
    <w:rsid w:val="000F4713"/>
    <w:rsid w:val="000F4F03"/>
    <w:rsid w:val="000F5868"/>
    <w:rsid w:val="000F5D5B"/>
    <w:rsid w:val="000F5F3A"/>
    <w:rsid w:val="000F65EB"/>
    <w:rsid w:val="000F6BAC"/>
    <w:rsid w:val="00100D34"/>
    <w:rsid w:val="0010161B"/>
    <w:rsid w:val="00101892"/>
    <w:rsid w:val="00102953"/>
    <w:rsid w:val="001050EC"/>
    <w:rsid w:val="00105AA3"/>
    <w:rsid w:val="00105C94"/>
    <w:rsid w:val="00106FF1"/>
    <w:rsid w:val="00107EE8"/>
    <w:rsid w:val="001100BB"/>
    <w:rsid w:val="00110736"/>
    <w:rsid w:val="00113309"/>
    <w:rsid w:val="00113C25"/>
    <w:rsid w:val="00114502"/>
    <w:rsid w:val="001169EB"/>
    <w:rsid w:val="001200CF"/>
    <w:rsid w:val="001208DC"/>
    <w:rsid w:val="00120A57"/>
    <w:rsid w:val="00120EB8"/>
    <w:rsid w:val="00121945"/>
    <w:rsid w:val="0012404A"/>
    <w:rsid w:val="001243A3"/>
    <w:rsid w:val="001247EA"/>
    <w:rsid w:val="00124B7D"/>
    <w:rsid w:val="00124E6E"/>
    <w:rsid w:val="00126777"/>
    <w:rsid w:val="001272DA"/>
    <w:rsid w:val="00127428"/>
    <w:rsid w:val="00127E37"/>
    <w:rsid w:val="00127E41"/>
    <w:rsid w:val="00127FF6"/>
    <w:rsid w:val="001302D3"/>
    <w:rsid w:val="0013045C"/>
    <w:rsid w:val="001314E0"/>
    <w:rsid w:val="001318D7"/>
    <w:rsid w:val="0013211B"/>
    <w:rsid w:val="001343D9"/>
    <w:rsid w:val="00135F7E"/>
    <w:rsid w:val="00136AAD"/>
    <w:rsid w:val="0013762E"/>
    <w:rsid w:val="001411EA"/>
    <w:rsid w:val="001424AE"/>
    <w:rsid w:val="00142FA8"/>
    <w:rsid w:val="001443F6"/>
    <w:rsid w:val="00144900"/>
    <w:rsid w:val="00147636"/>
    <w:rsid w:val="001479E8"/>
    <w:rsid w:val="00147DE8"/>
    <w:rsid w:val="001516DD"/>
    <w:rsid w:val="001519D0"/>
    <w:rsid w:val="00152746"/>
    <w:rsid w:val="001529BA"/>
    <w:rsid w:val="00152C2D"/>
    <w:rsid w:val="00153ACF"/>
    <w:rsid w:val="0015454B"/>
    <w:rsid w:val="00157C4F"/>
    <w:rsid w:val="00160CE0"/>
    <w:rsid w:val="00163394"/>
    <w:rsid w:val="00163BC4"/>
    <w:rsid w:val="00163D18"/>
    <w:rsid w:val="00164255"/>
    <w:rsid w:val="00164DE8"/>
    <w:rsid w:val="00165A80"/>
    <w:rsid w:val="001671A0"/>
    <w:rsid w:val="001675F1"/>
    <w:rsid w:val="00170504"/>
    <w:rsid w:val="00170717"/>
    <w:rsid w:val="001710EA"/>
    <w:rsid w:val="00171296"/>
    <w:rsid w:val="00171B60"/>
    <w:rsid w:val="001721C4"/>
    <w:rsid w:val="00172252"/>
    <w:rsid w:val="00172346"/>
    <w:rsid w:val="001729DE"/>
    <w:rsid w:val="001731B5"/>
    <w:rsid w:val="00174055"/>
    <w:rsid w:val="00174E86"/>
    <w:rsid w:val="0017506A"/>
    <w:rsid w:val="001763ED"/>
    <w:rsid w:val="00176802"/>
    <w:rsid w:val="00176DD4"/>
    <w:rsid w:val="00176E45"/>
    <w:rsid w:val="001779B4"/>
    <w:rsid w:val="001807BA"/>
    <w:rsid w:val="00180FED"/>
    <w:rsid w:val="00182134"/>
    <w:rsid w:val="001845F8"/>
    <w:rsid w:val="0018537E"/>
    <w:rsid w:val="00186B32"/>
    <w:rsid w:val="00187BE7"/>
    <w:rsid w:val="001905D7"/>
    <w:rsid w:val="00190B17"/>
    <w:rsid w:val="001916A9"/>
    <w:rsid w:val="00191F91"/>
    <w:rsid w:val="001932F8"/>
    <w:rsid w:val="00193A7E"/>
    <w:rsid w:val="00194B9E"/>
    <w:rsid w:val="00195A0A"/>
    <w:rsid w:val="00196D43"/>
    <w:rsid w:val="001970A3"/>
    <w:rsid w:val="001A49D2"/>
    <w:rsid w:val="001A5262"/>
    <w:rsid w:val="001A622D"/>
    <w:rsid w:val="001A6EAC"/>
    <w:rsid w:val="001A7BD6"/>
    <w:rsid w:val="001B0BB2"/>
    <w:rsid w:val="001B1383"/>
    <w:rsid w:val="001B3741"/>
    <w:rsid w:val="001B3F04"/>
    <w:rsid w:val="001B40F5"/>
    <w:rsid w:val="001B42C0"/>
    <w:rsid w:val="001B44B8"/>
    <w:rsid w:val="001B4632"/>
    <w:rsid w:val="001B5144"/>
    <w:rsid w:val="001B552E"/>
    <w:rsid w:val="001B5BB9"/>
    <w:rsid w:val="001B6221"/>
    <w:rsid w:val="001B6ECE"/>
    <w:rsid w:val="001B7AB7"/>
    <w:rsid w:val="001C01D2"/>
    <w:rsid w:val="001C36D6"/>
    <w:rsid w:val="001C3F6C"/>
    <w:rsid w:val="001C4C68"/>
    <w:rsid w:val="001C53A4"/>
    <w:rsid w:val="001C54AC"/>
    <w:rsid w:val="001C55E7"/>
    <w:rsid w:val="001C55F3"/>
    <w:rsid w:val="001C64E2"/>
    <w:rsid w:val="001D160B"/>
    <w:rsid w:val="001D1B28"/>
    <w:rsid w:val="001D1C52"/>
    <w:rsid w:val="001D1EDF"/>
    <w:rsid w:val="001D2F9C"/>
    <w:rsid w:val="001D51DC"/>
    <w:rsid w:val="001D629A"/>
    <w:rsid w:val="001D6A1D"/>
    <w:rsid w:val="001E00FE"/>
    <w:rsid w:val="001E08A0"/>
    <w:rsid w:val="001E29F5"/>
    <w:rsid w:val="001E382D"/>
    <w:rsid w:val="001E4E6B"/>
    <w:rsid w:val="001E51A2"/>
    <w:rsid w:val="001E5B00"/>
    <w:rsid w:val="001E63A1"/>
    <w:rsid w:val="001E6666"/>
    <w:rsid w:val="001E6FB0"/>
    <w:rsid w:val="001E7722"/>
    <w:rsid w:val="001F14EE"/>
    <w:rsid w:val="001F167C"/>
    <w:rsid w:val="001F2147"/>
    <w:rsid w:val="001F329E"/>
    <w:rsid w:val="001F4142"/>
    <w:rsid w:val="001F4952"/>
    <w:rsid w:val="001F6086"/>
    <w:rsid w:val="001F725B"/>
    <w:rsid w:val="001F7F70"/>
    <w:rsid w:val="002003AE"/>
    <w:rsid w:val="00200A99"/>
    <w:rsid w:val="00203334"/>
    <w:rsid w:val="00203898"/>
    <w:rsid w:val="00204AF1"/>
    <w:rsid w:val="0020529B"/>
    <w:rsid w:val="002057AB"/>
    <w:rsid w:val="00205E03"/>
    <w:rsid w:val="0020670B"/>
    <w:rsid w:val="00206F70"/>
    <w:rsid w:val="00207149"/>
    <w:rsid w:val="00207A50"/>
    <w:rsid w:val="00207EE8"/>
    <w:rsid w:val="00210A2B"/>
    <w:rsid w:val="00211197"/>
    <w:rsid w:val="00211821"/>
    <w:rsid w:val="00212ED4"/>
    <w:rsid w:val="00212FA5"/>
    <w:rsid w:val="002133E9"/>
    <w:rsid w:val="0021450F"/>
    <w:rsid w:val="00214742"/>
    <w:rsid w:val="00214D04"/>
    <w:rsid w:val="0021525A"/>
    <w:rsid w:val="00215747"/>
    <w:rsid w:val="0021589A"/>
    <w:rsid w:val="00215F56"/>
    <w:rsid w:val="00216ABF"/>
    <w:rsid w:val="002204BF"/>
    <w:rsid w:val="00220C45"/>
    <w:rsid w:val="00220C53"/>
    <w:rsid w:val="00221A14"/>
    <w:rsid w:val="00221E9E"/>
    <w:rsid w:val="0022364D"/>
    <w:rsid w:val="00223B5D"/>
    <w:rsid w:val="00224331"/>
    <w:rsid w:val="00226166"/>
    <w:rsid w:val="002263FA"/>
    <w:rsid w:val="0022644D"/>
    <w:rsid w:val="002279E4"/>
    <w:rsid w:val="00227E52"/>
    <w:rsid w:val="00230082"/>
    <w:rsid w:val="00231AA6"/>
    <w:rsid w:val="0023248E"/>
    <w:rsid w:val="002325C5"/>
    <w:rsid w:val="00232AE4"/>
    <w:rsid w:val="00234049"/>
    <w:rsid w:val="002348F2"/>
    <w:rsid w:val="00235E49"/>
    <w:rsid w:val="002360AE"/>
    <w:rsid w:val="00237D83"/>
    <w:rsid w:val="00240940"/>
    <w:rsid w:val="0024098B"/>
    <w:rsid w:val="00240CE3"/>
    <w:rsid w:val="00241B09"/>
    <w:rsid w:val="00243AF1"/>
    <w:rsid w:val="00243F96"/>
    <w:rsid w:val="002442B2"/>
    <w:rsid w:val="00246912"/>
    <w:rsid w:val="00246953"/>
    <w:rsid w:val="0024745A"/>
    <w:rsid w:val="00247D8A"/>
    <w:rsid w:val="00247E99"/>
    <w:rsid w:val="0025018A"/>
    <w:rsid w:val="00250402"/>
    <w:rsid w:val="002513E9"/>
    <w:rsid w:val="002516FD"/>
    <w:rsid w:val="002525EB"/>
    <w:rsid w:val="002533C7"/>
    <w:rsid w:val="002537FC"/>
    <w:rsid w:val="00253D55"/>
    <w:rsid w:val="00254A7E"/>
    <w:rsid w:val="0025526F"/>
    <w:rsid w:val="0025605C"/>
    <w:rsid w:val="00256538"/>
    <w:rsid w:val="00257561"/>
    <w:rsid w:val="00257D7C"/>
    <w:rsid w:val="00260F0D"/>
    <w:rsid w:val="0026166A"/>
    <w:rsid w:val="00262F13"/>
    <w:rsid w:val="00262F5F"/>
    <w:rsid w:val="002641E8"/>
    <w:rsid w:val="00264A85"/>
    <w:rsid w:val="00266BBE"/>
    <w:rsid w:val="002679A6"/>
    <w:rsid w:val="002717B2"/>
    <w:rsid w:val="00272050"/>
    <w:rsid w:val="002720DE"/>
    <w:rsid w:val="002721F6"/>
    <w:rsid w:val="002731EC"/>
    <w:rsid w:val="002739F1"/>
    <w:rsid w:val="00273B99"/>
    <w:rsid w:val="00274B63"/>
    <w:rsid w:val="00275357"/>
    <w:rsid w:val="00275442"/>
    <w:rsid w:val="00275CC7"/>
    <w:rsid w:val="00275FAE"/>
    <w:rsid w:val="0027627B"/>
    <w:rsid w:val="002762FC"/>
    <w:rsid w:val="00280052"/>
    <w:rsid w:val="002824D4"/>
    <w:rsid w:val="00282C33"/>
    <w:rsid w:val="00283621"/>
    <w:rsid w:val="002837F5"/>
    <w:rsid w:val="002842FE"/>
    <w:rsid w:val="0028483E"/>
    <w:rsid w:val="00284C09"/>
    <w:rsid w:val="00284E52"/>
    <w:rsid w:val="002859A9"/>
    <w:rsid w:val="00286147"/>
    <w:rsid w:val="00286E9F"/>
    <w:rsid w:val="00290FB0"/>
    <w:rsid w:val="00295525"/>
    <w:rsid w:val="00297D2C"/>
    <w:rsid w:val="002A0683"/>
    <w:rsid w:val="002A079D"/>
    <w:rsid w:val="002A49D9"/>
    <w:rsid w:val="002A4EF5"/>
    <w:rsid w:val="002A5140"/>
    <w:rsid w:val="002A5145"/>
    <w:rsid w:val="002A5D9D"/>
    <w:rsid w:val="002A6057"/>
    <w:rsid w:val="002B0327"/>
    <w:rsid w:val="002B0BA5"/>
    <w:rsid w:val="002B2607"/>
    <w:rsid w:val="002B344F"/>
    <w:rsid w:val="002B4146"/>
    <w:rsid w:val="002B458F"/>
    <w:rsid w:val="002B682C"/>
    <w:rsid w:val="002B746D"/>
    <w:rsid w:val="002B7493"/>
    <w:rsid w:val="002C0092"/>
    <w:rsid w:val="002C0C08"/>
    <w:rsid w:val="002C3D29"/>
    <w:rsid w:val="002C4CB8"/>
    <w:rsid w:val="002C5DAE"/>
    <w:rsid w:val="002C6267"/>
    <w:rsid w:val="002C6954"/>
    <w:rsid w:val="002C74A4"/>
    <w:rsid w:val="002C7A5E"/>
    <w:rsid w:val="002D0278"/>
    <w:rsid w:val="002D250A"/>
    <w:rsid w:val="002D4DB9"/>
    <w:rsid w:val="002D517A"/>
    <w:rsid w:val="002D581A"/>
    <w:rsid w:val="002E0F2D"/>
    <w:rsid w:val="002E1A7F"/>
    <w:rsid w:val="002E2969"/>
    <w:rsid w:val="002E2CEC"/>
    <w:rsid w:val="002E3C88"/>
    <w:rsid w:val="002E40F2"/>
    <w:rsid w:val="002E5DB6"/>
    <w:rsid w:val="002E67BE"/>
    <w:rsid w:val="002E7F67"/>
    <w:rsid w:val="002F16A0"/>
    <w:rsid w:val="002F1BBF"/>
    <w:rsid w:val="002F20B4"/>
    <w:rsid w:val="002F2770"/>
    <w:rsid w:val="002F319A"/>
    <w:rsid w:val="002F3490"/>
    <w:rsid w:val="002F3851"/>
    <w:rsid w:val="002F3DC7"/>
    <w:rsid w:val="002F3DF9"/>
    <w:rsid w:val="002F6831"/>
    <w:rsid w:val="002F69C5"/>
    <w:rsid w:val="002F799D"/>
    <w:rsid w:val="003004AB"/>
    <w:rsid w:val="003004F6"/>
    <w:rsid w:val="003012B2"/>
    <w:rsid w:val="00302405"/>
    <w:rsid w:val="00303426"/>
    <w:rsid w:val="00303AF0"/>
    <w:rsid w:val="00304135"/>
    <w:rsid w:val="00305155"/>
    <w:rsid w:val="00307F3E"/>
    <w:rsid w:val="0031003E"/>
    <w:rsid w:val="003105AA"/>
    <w:rsid w:val="00311258"/>
    <w:rsid w:val="00313BA6"/>
    <w:rsid w:val="00314174"/>
    <w:rsid w:val="003141E2"/>
    <w:rsid w:val="003166FF"/>
    <w:rsid w:val="00317795"/>
    <w:rsid w:val="00320C90"/>
    <w:rsid w:val="0032103D"/>
    <w:rsid w:val="0032162B"/>
    <w:rsid w:val="003216E3"/>
    <w:rsid w:val="00321E07"/>
    <w:rsid w:val="00323159"/>
    <w:rsid w:val="00323707"/>
    <w:rsid w:val="0032402E"/>
    <w:rsid w:val="003261A9"/>
    <w:rsid w:val="00326A32"/>
    <w:rsid w:val="00327367"/>
    <w:rsid w:val="003274BD"/>
    <w:rsid w:val="00330412"/>
    <w:rsid w:val="00333087"/>
    <w:rsid w:val="00333318"/>
    <w:rsid w:val="00333383"/>
    <w:rsid w:val="00333CB8"/>
    <w:rsid w:val="00333D03"/>
    <w:rsid w:val="00335061"/>
    <w:rsid w:val="003356A0"/>
    <w:rsid w:val="003359C8"/>
    <w:rsid w:val="003366D8"/>
    <w:rsid w:val="003367C7"/>
    <w:rsid w:val="003401BB"/>
    <w:rsid w:val="0034079E"/>
    <w:rsid w:val="00341980"/>
    <w:rsid w:val="00342279"/>
    <w:rsid w:val="003432A0"/>
    <w:rsid w:val="0034339F"/>
    <w:rsid w:val="00343987"/>
    <w:rsid w:val="00343A30"/>
    <w:rsid w:val="0034417E"/>
    <w:rsid w:val="0034502C"/>
    <w:rsid w:val="00345059"/>
    <w:rsid w:val="00345682"/>
    <w:rsid w:val="0034610E"/>
    <w:rsid w:val="00346A0C"/>
    <w:rsid w:val="00347803"/>
    <w:rsid w:val="00353C75"/>
    <w:rsid w:val="00355185"/>
    <w:rsid w:val="00355AEF"/>
    <w:rsid w:val="00356CC9"/>
    <w:rsid w:val="00356CE8"/>
    <w:rsid w:val="00357E1E"/>
    <w:rsid w:val="003602AF"/>
    <w:rsid w:val="003605A8"/>
    <w:rsid w:val="003618F0"/>
    <w:rsid w:val="00361CA4"/>
    <w:rsid w:val="00361D21"/>
    <w:rsid w:val="00362092"/>
    <w:rsid w:val="003632C9"/>
    <w:rsid w:val="003655CF"/>
    <w:rsid w:val="00366C40"/>
    <w:rsid w:val="003670C7"/>
    <w:rsid w:val="00367CF4"/>
    <w:rsid w:val="00370D5A"/>
    <w:rsid w:val="00370DBF"/>
    <w:rsid w:val="00373578"/>
    <w:rsid w:val="00373AEC"/>
    <w:rsid w:val="00374F6C"/>
    <w:rsid w:val="003756A4"/>
    <w:rsid w:val="00375A20"/>
    <w:rsid w:val="00375A94"/>
    <w:rsid w:val="00376045"/>
    <w:rsid w:val="00377280"/>
    <w:rsid w:val="00377358"/>
    <w:rsid w:val="003778E0"/>
    <w:rsid w:val="00377E38"/>
    <w:rsid w:val="00380099"/>
    <w:rsid w:val="00380198"/>
    <w:rsid w:val="0038030A"/>
    <w:rsid w:val="003803D3"/>
    <w:rsid w:val="00382F86"/>
    <w:rsid w:val="0038323A"/>
    <w:rsid w:val="00383643"/>
    <w:rsid w:val="0038386A"/>
    <w:rsid w:val="00383951"/>
    <w:rsid w:val="00383A8E"/>
    <w:rsid w:val="00383E8F"/>
    <w:rsid w:val="00383F0B"/>
    <w:rsid w:val="00384FB3"/>
    <w:rsid w:val="003855CB"/>
    <w:rsid w:val="00386EB3"/>
    <w:rsid w:val="00387B74"/>
    <w:rsid w:val="00390C0E"/>
    <w:rsid w:val="00390F18"/>
    <w:rsid w:val="00391742"/>
    <w:rsid w:val="00393D52"/>
    <w:rsid w:val="00393DA9"/>
    <w:rsid w:val="0039471E"/>
    <w:rsid w:val="0039606A"/>
    <w:rsid w:val="0039647C"/>
    <w:rsid w:val="003A0888"/>
    <w:rsid w:val="003A102D"/>
    <w:rsid w:val="003A1D79"/>
    <w:rsid w:val="003A2225"/>
    <w:rsid w:val="003A31F5"/>
    <w:rsid w:val="003A38AD"/>
    <w:rsid w:val="003A3BE3"/>
    <w:rsid w:val="003A3ECA"/>
    <w:rsid w:val="003A46CC"/>
    <w:rsid w:val="003A4B4F"/>
    <w:rsid w:val="003A541E"/>
    <w:rsid w:val="003A54D2"/>
    <w:rsid w:val="003A557F"/>
    <w:rsid w:val="003A56E6"/>
    <w:rsid w:val="003A6EF6"/>
    <w:rsid w:val="003A728E"/>
    <w:rsid w:val="003A77E4"/>
    <w:rsid w:val="003B0051"/>
    <w:rsid w:val="003B0DC2"/>
    <w:rsid w:val="003B2417"/>
    <w:rsid w:val="003B40FE"/>
    <w:rsid w:val="003B44F7"/>
    <w:rsid w:val="003B584E"/>
    <w:rsid w:val="003B6D25"/>
    <w:rsid w:val="003B751B"/>
    <w:rsid w:val="003B75E2"/>
    <w:rsid w:val="003C0D0F"/>
    <w:rsid w:val="003C1250"/>
    <w:rsid w:val="003C1BD1"/>
    <w:rsid w:val="003C2C64"/>
    <w:rsid w:val="003C2CAA"/>
    <w:rsid w:val="003C2D35"/>
    <w:rsid w:val="003C49E1"/>
    <w:rsid w:val="003C4FF7"/>
    <w:rsid w:val="003C6457"/>
    <w:rsid w:val="003C6C7E"/>
    <w:rsid w:val="003C7516"/>
    <w:rsid w:val="003C7E77"/>
    <w:rsid w:val="003D02DA"/>
    <w:rsid w:val="003D0A2A"/>
    <w:rsid w:val="003D1F90"/>
    <w:rsid w:val="003D232F"/>
    <w:rsid w:val="003D287D"/>
    <w:rsid w:val="003D2F6B"/>
    <w:rsid w:val="003D6AA9"/>
    <w:rsid w:val="003D6B01"/>
    <w:rsid w:val="003E0063"/>
    <w:rsid w:val="003E1A7E"/>
    <w:rsid w:val="003E2292"/>
    <w:rsid w:val="003E3B6D"/>
    <w:rsid w:val="003E3FDD"/>
    <w:rsid w:val="003E4BF3"/>
    <w:rsid w:val="003E6509"/>
    <w:rsid w:val="003F1B7B"/>
    <w:rsid w:val="003F3DE6"/>
    <w:rsid w:val="003F42AB"/>
    <w:rsid w:val="003F44F2"/>
    <w:rsid w:val="003F4AF9"/>
    <w:rsid w:val="003F50F0"/>
    <w:rsid w:val="003F64CD"/>
    <w:rsid w:val="003F651D"/>
    <w:rsid w:val="003F7FF6"/>
    <w:rsid w:val="0040009B"/>
    <w:rsid w:val="00401134"/>
    <w:rsid w:val="00401499"/>
    <w:rsid w:val="00402701"/>
    <w:rsid w:val="00404706"/>
    <w:rsid w:val="00405407"/>
    <w:rsid w:val="0040557B"/>
    <w:rsid w:val="00405DB6"/>
    <w:rsid w:val="0041016E"/>
    <w:rsid w:val="0041143E"/>
    <w:rsid w:val="0041198B"/>
    <w:rsid w:val="00413C51"/>
    <w:rsid w:val="00413C6D"/>
    <w:rsid w:val="00413DD0"/>
    <w:rsid w:val="00413E06"/>
    <w:rsid w:val="00414D9A"/>
    <w:rsid w:val="00415E8D"/>
    <w:rsid w:val="00416474"/>
    <w:rsid w:val="00416A01"/>
    <w:rsid w:val="00416A94"/>
    <w:rsid w:val="00416F54"/>
    <w:rsid w:val="00417180"/>
    <w:rsid w:val="00420288"/>
    <w:rsid w:val="0042089C"/>
    <w:rsid w:val="00420BD0"/>
    <w:rsid w:val="00420E8D"/>
    <w:rsid w:val="00420F6E"/>
    <w:rsid w:val="0042159C"/>
    <w:rsid w:val="00423419"/>
    <w:rsid w:val="004234DF"/>
    <w:rsid w:val="00423FD0"/>
    <w:rsid w:val="00424EA0"/>
    <w:rsid w:val="0042554D"/>
    <w:rsid w:val="00426B52"/>
    <w:rsid w:val="004272B4"/>
    <w:rsid w:val="00427B70"/>
    <w:rsid w:val="0043092E"/>
    <w:rsid w:val="00430BB8"/>
    <w:rsid w:val="00430E0D"/>
    <w:rsid w:val="004318D2"/>
    <w:rsid w:val="004322EB"/>
    <w:rsid w:val="00432D01"/>
    <w:rsid w:val="0043616E"/>
    <w:rsid w:val="0043709F"/>
    <w:rsid w:val="00437CF1"/>
    <w:rsid w:val="00437E86"/>
    <w:rsid w:val="00440DDB"/>
    <w:rsid w:val="00441655"/>
    <w:rsid w:val="00442BE1"/>
    <w:rsid w:val="00443489"/>
    <w:rsid w:val="00443815"/>
    <w:rsid w:val="00443CF5"/>
    <w:rsid w:val="0044581C"/>
    <w:rsid w:val="004466DC"/>
    <w:rsid w:val="0045078E"/>
    <w:rsid w:val="00450A3B"/>
    <w:rsid w:val="00450B2D"/>
    <w:rsid w:val="00451ED0"/>
    <w:rsid w:val="00453453"/>
    <w:rsid w:val="004548CB"/>
    <w:rsid w:val="00456917"/>
    <w:rsid w:val="0046055A"/>
    <w:rsid w:val="00461921"/>
    <w:rsid w:val="00461B69"/>
    <w:rsid w:val="00463850"/>
    <w:rsid w:val="004657DE"/>
    <w:rsid w:val="0046685D"/>
    <w:rsid w:val="00466E9C"/>
    <w:rsid w:val="00466FFE"/>
    <w:rsid w:val="0046759C"/>
    <w:rsid w:val="0047138E"/>
    <w:rsid w:val="00472282"/>
    <w:rsid w:val="0047281F"/>
    <w:rsid w:val="00473ED2"/>
    <w:rsid w:val="004741BB"/>
    <w:rsid w:val="00475CB7"/>
    <w:rsid w:val="00475E66"/>
    <w:rsid w:val="00476050"/>
    <w:rsid w:val="00476C7F"/>
    <w:rsid w:val="00476DBF"/>
    <w:rsid w:val="00477259"/>
    <w:rsid w:val="004805B7"/>
    <w:rsid w:val="00480D67"/>
    <w:rsid w:val="00481A71"/>
    <w:rsid w:val="00481E3F"/>
    <w:rsid w:val="00483540"/>
    <w:rsid w:val="00485305"/>
    <w:rsid w:val="004867D1"/>
    <w:rsid w:val="00486B04"/>
    <w:rsid w:val="00487C4D"/>
    <w:rsid w:val="0049111A"/>
    <w:rsid w:val="00491602"/>
    <w:rsid w:val="0049370D"/>
    <w:rsid w:val="00493A9E"/>
    <w:rsid w:val="00494E9A"/>
    <w:rsid w:val="004952BE"/>
    <w:rsid w:val="00496666"/>
    <w:rsid w:val="00496724"/>
    <w:rsid w:val="00496834"/>
    <w:rsid w:val="00496F3C"/>
    <w:rsid w:val="004A0103"/>
    <w:rsid w:val="004A022B"/>
    <w:rsid w:val="004A1A45"/>
    <w:rsid w:val="004A2062"/>
    <w:rsid w:val="004A43CC"/>
    <w:rsid w:val="004A4F87"/>
    <w:rsid w:val="004A50AD"/>
    <w:rsid w:val="004A5227"/>
    <w:rsid w:val="004A5DA8"/>
    <w:rsid w:val="004A6591"/>
    <w:rsid w:val="004A7525"/>
    <w:rsid w:val="004B0C2F"/>
    <w:rsid w:val="004B29F7"/>
    <w:rsid w:val="004B2FD4"/>
    <w:rsid w:val="004B3428"/>
    <w:rsid w:val="004B6E6F"/>
    <w:rsid w:val="004B7386"/>
    <w:rsid w:val="004B7B02"/>
    <w:rsid w:val="004C029B"/>
    <w:rsid w:val="004C058C"/>
    <w:rsid w:val="004C0A83"/>
    <w:rsid w:val="004C10C5"/>
    <w:rsid w:val="004C1AB5"/>
    <w:rsid w:val="004C445B"/>
    <w:rsid w:val="004C4DB5"/>
    <w:rsid w:val="004C4EBF"/>
    <w:rsid w:val="004C50E9"/>
    <w:rsid w:val="004C6413"/>
    <w:rsid w:val="004C6471"/>
    <w:rsid w:val="004C689E"/>
    <w:rsid w:val="004D0FCF"/>
    <w:rsid w:val="004D114C"/>
    <w:rsid w:val="004D2501"/>
    <w:rsid w:val="004D27F7"/>
    <w:rsid w:val="004D32FC"/>
    <w:rsid w:val="004D35A0"/>
    <w:rsid w:val="004D397D"/>
    <w:rsid w:val="004D3BD3"/>
    <w:rsid w:val="004D4148"/>
    <w:rsid w:val="004D47D2"/>
    <w:rsid w:val="004D47F5"/>
    <w:rsid w:val="004D4F89"/>
    <w:rsid w:val="004D5661"/>
    <w:rsid w:val="004D7006"/>
    <w:rsid w:val="004D76B5"/>
    <w:rsid w:val="004E05AD"/>
    <w:rsid w:val="004E0B45"/>
    <w:rsid w:val="004E19FF"/>
    <w:rsid w:val="004E26C8"/>
    <w:rsid w:val="004E4309"/>
    <w:rsid w:val="004E4470"/>
    <w:rsid w:val="004E57A6"/>
    <w:rsid w:val="004E57A8"/>
    <w:rsid w:val="004E5E35"/>
    <w:rsid w:val="004E6D96"/>
    <w:rsid w:val="004E7F03"/>
    <w:rsid w:val="004F14CE"/>
    <w:rsid w:val="004F15EC"/>
    <w:rsid w:val="004F2033"/>
    <w:rsid w:val="004F242C"/>
    <w:rsid w:val="004F2AD0"/>
    <w:rsid w:val="004F3DDC"/>
    <w:rsid w:val="004F55F4"/>
    <w:rsid w:val="004F5EFC"/>
    <w:rsid w:val="004F7210"/>
    <w:rsid w:val="004F753F"/>
    <w:rsid w:val="004F77CF"/>
    <w:rsid w:val="004F79D9"/>
    <w:rsid w:val="004F7CF2"/>
    <w:rsid w:val="00500BD7"/>
    <w:rsid w:val="00501B91"/>
    <w:rsid w:val="0050205D"/>
    <w:rsid w:val="0050232F"/>
    <w:rsid w:val="00502A6E"/>
    <w:rsid w:val="00503479"/>
    <w:rsid w:val="005039A5"/>
    <w:rsid w:val="00504302"/>
    <w:rsid w:val="00504B34"/>
    <w:rsid w:val="005057CF"/>
    <w:rsid w:val="00506651"/>
    <w:rsid w:val="0050697A"/>
    <w:rsid w:val="005071D6"/>
    <w:rsid w:val="005072F9"/>
    <w:rsid w:val="00507D81"/>
    <w:rsid w:val="005110D5"/>
    <w:rsid w:val="00513B6D"/>
    <w:rsid w:val="00514166"/>
    <w:rsid w:val="0051481F"/>
    <w:rsid w:val="005155AA"/>
    <w:rsid w:val="00515675"/>
    <w:rsid w:val="005158B7"/>
    <w:rsid w:val="00516A76"/>
    <w:rsid w:val="00516F1B"/>
    <w:rsid w:val="0051716C"/>
    <w:rsid w:val="005171D5"/>
    <w:rsid w:val="00521770"/>
    <w:rsid w:val="00522465"/>
    <w:rsid w:val="00522ABC"/>
    <w:rsid w:val="0052312D"/>
    <w:rsid w:val="00526195"/>
    <w:rsid w:val="0052688D"/>
    <w:rsid w:val="0052710D"/>
    <w:rsid w:val="005301A0"/>
    <w:rsid w:val="0053119A"/>
    <w:rsid w:val="00531E6B"/>
    <w:rsid w:val="005325A1"/>
    <w:rsid w:val="00532845"/>
    <w:rsid w:val="005341F9"/>
    <w:rsid w:val="00534737"/>
    <w:rsid w:val="00534AE9"/>
    <w:rsid w:val="00535DFD"/>
    <w:rsid w:val="00536C0C"/>
    <w:rsid w:val="005370DB"/>
    <w:rsid w:val="005402FE"/>
    <w:rsid w:val="005404DF"/>
    <w:rsid w:val="0054076D"/>
    <w:rsid w:val="00541B87"/>
    <w:rsid w:val="005421A0"/>
    <w:rsid w:val="0054317A"/>
    <w:rsid w:val="005432D0"/>
    <w:rsid w:val="00543F69"/>
    <w:rsid w:val="00543F91"/>
    <w:rsid w:val="00544906"/>
    <w:rsid w:val="005464BD"/>
    <w:rsid w:val="005479DB"/>
    <w:rsid w:val="00551221"/>
    <w:rsid w:val="005515BF"/>
    <w:rsid w:val="005532DD"/>
    <w:rsid w:val="00553346"/>
    <w:rsid w:val="00553842"/>
    <w:rsid w:val="00556665"/>
    <w:rsid w:val="00556818"/>
    <w:rsid w:val="00557460"/>
    <w:rsid w:val="005579CA"/>
    <w:rsid w:val="00557A57"/>
    <w:rsid w:val="005612BD"/>
    <w:rsid w:val="0056358A"/>
    <w:rsid w:val="00563AB1"/>
    <w:rsid w:val="00564475"/>
    <w:rsid w:val="00564626"/>
    <w:rsid w:val="005646F4"/>
    <w:rsid w:val="00565963"/>
    <w:rsid w:val="00565CE6"/>
    <w:rsid w:val="00565D3A"/>
    <w:rsid w:val="005664B4"/>
    <w:rsid w:val="005666EE"/>
    <w:rsid w:val="00566AA9"/>
    <w:rsid w:val="00567666"/>
    <w:rsid w:val="00570951"/>
    <w:rsid w:val="00570BEB"/>
    <w:rsid w:val="005713B0"/>
    <w:rsid w:val="00571D7D"/>
    <w:rsid w:val="00571F84"/>
    <w:rsid w:val="00572649"/>
    <w:rsid w:val="00572DDA"/>
    <w:rsid w:val="005733CF"/>
    <w:rsid w:val="0057369B"/>
    <w:rsid w:val="00575366"/>
    <w:rsid w:val="00575578"/>
    <w:rsid w:val="00577841"/>
    <w:rsid w:val="00580A1C"/>
    <w:rsid w:val="00581845"/>
    <w:rsid w:val="00581B22"/>
    <w:rsid w:val="0058278B"/>
    <w:rsid w:val="00582B46"/>
    <w:rsid w:val="00583046"/>
    <w:rsid w:val="005840CC"/>
    <w:rsid w:val="005846C8"/>
    <w:rsid w:val="005848DA"/>
    <w:rsid w:val="00585622"/>
    <w:rsid w:val="005865AF"/>
    <w:rsid w:val="00586CAD"/>
    <w:rsid w:val="00586F8E"/>
    <w:rsid w:val="005905B2"/>
    <w:rsid w:val="00591BFF"/>
    <w:rsid w:val="0059245A"/>
    <w:rsid w:val="00593205"/>
    <w:rsid w:val="00593442"/>
    <w:rsid w:val="0059360C"/>
    <w:rsid w:val="00593C7D"/>
    <w:rsid w:val="00597433"/>
    <w:rsid w:val="00597E12"/>
    <w:rsid w:val="00597F0F"/>
    <w:rsid w:val="005A0568"/>
    <w:rsid w:val="005A1B23"/>
    <w:rsid w:val="005A3B1B"/>
    <w:rsid w:val="005A3BEA"/>
    <w:rsid w:val="005A585B"/>
    <w:rsid w:val="005A68C3"/>
    <w:rsid w:val="005A7D47"/>
    <w:rsid w:val="005B05C8"/>
    <w:rsid w:val="005B1606"/>
    <w:rsid w:val="005B199A"/>
    <w:rsid w:val="005B3109"/>
    <w:rsid w:val="005B33EE"/>
    <w:rsid w:val="005B3697"/>
    <w:rsid w:val="005B3EF3"/>
    <w:rsid w:val="005B6070"/>
    <w:rsid w:val="005B63F9"/>
    <w:rsid w:val="005B6A69"/>
    <w:rsid w:val="005B73A4"/>
    <w:rsid w:val="005B79B4"/>
    <w:rsid w:val="005C00FA"/>
    <w:rsid w:val="005C121F"/>
    <w:rsid w:val="005C213B"/>
    <w:rsid w:val="005C381F"/>
    <w:rsid w:val="005C3A20"/>
    <w:rsid w:val="005C4011"/>
    <w:rsid w:val="005C42A9"/>
    <w:rsid w:val="005C4389"/>
    <w:rsid w:val="005C43CA"/>
    <w:rsid w:val="005C4976"/>
    <w:rsid w:val="005C4FD7"/>
    <w:rsid w:val="005C50E2"/>
    <w:rsid w:val="005C5360"/>
    <w:rsid w:val="005C56B0"/>
    <w:rsid w:val="005C5A74"/>
    <w:rsid w:val="005C5AF3"/>
    <w:rsid w:val="005C5E97"/>
    <w:rsid w:val="005C7265"/>
    <w:rsid w:val="005C78D2"/>
    <w:rsid w:val="005C7CE4"/>
    <w:rsid w:val="005D0300"/>
    <w:rsid w:val="005D050C"/>
    <w:rsid w:val="005D17BA"/>
    <w:rsid w:val="005D1912"/>
    <w:rsid w:val="005D1F66"/>
    <w:rsid w:val="005D55D7"/>
    <w:rsid w:val="005D5EE5"/>
    <w:rsid w:val="005D6872"/>
    <w:rsid w:val="005E0966"/>
    <w:rsid w:val="005E0AE5"/>
    <w:rsid w:val="005E2B02"/>
    <w:rsid w:val="005E3783"/>
    <w:rsid w:val="005E46FA"/>
    <w:rsid w:val="005E4E27"/>
    <w:rsid w:val="005E55B9"/>
    <w:rsid w:val="005E5A36"/>
    <w:rsid w:val="005F0C9A"/>
    <w:rsid w:val="005F0F4E"/>
    <w:rsid w:val="005F12A0"/>
    <w:rsid w:val="005F1BE3"/>
    <w:rsid w:val="005F21C5"/>
    <w:rsid w:val="005F274E"/>
    <w:rsid w:val="005F3424"/>
    <w:rsid w:val="005F3C21"/>
    <w:rsid w:val="005F5A9A"/>
    <w:rsid w:val="005F77B4"/>
    <w:rsid w:val="00600BAC"/>
    <w:rsid w:val="00602C53"/>
    <w:rsid w:val="00602C9E"/>
    <w:rsid w:val="00602F22"/>
    <w:rsid w:val="006042D2"/>
    <w:rsid w:val="00605228"/>
    <w:rsid w:val="00605328"/>
    <w:rsid w:val="006059DC"/>
    <w:rsid w:val="0060650A"/>
    <w:rsid w:val="006073D7"/>
    <w:rsid w:val="00607822"/>
    <w:rsid w:val="006115BC"/>
    <w:rsid w:val="00611C07"/>
    <w:rsid w:val="00613245"/>
    <w:rsid w:val="00613D1E"/>
    <w:rsid w:val="00614770"/>
    <w:rsid w:val="00614D05"/>
    <w:rsid w:val="006165FB"/>
    <w:rsid w:val="00616823"/>
    <w:rsid w:val="00616AF5"/>
    <w:rsid w:val="00620351"/>
    <w:rsid w:val="00620503"/>
    <w:rsid w:val="00620795"/>
    <w:rsid w:val="00621A52"/>
    <w:rsid w:val="00621CE1"/>
    <w:rsid w:val="00621D5F"/>
    <w:rsid w:val="006225A9"/>
    <w:rsid w:val="00625587"/>
    <w:rsid w:val="006259C1"/>
    <w:rsid w:val="00625D1E"/>
    <w:rsid w:val="00625DA4"/>
    <w:rsid w:val="00626045"/>
    <w:rsid w:val="00627692"/>
    <w:rsid w:val="006306A9"/>
    <w:rsid w:val="006310C9"/>
    <w:rsid w:val="00631556"/>
    <w:rsid w:val="00631561"/>
    <w:rsid w:val="0063195C"/>
    <w:rsid w:val="00632214"/>
    <w:rsid w:val="006322FF"/>
    <w:rsid w:val="006325AD"/>
    <w:rsid w:val="00634B49"/>
    <w:rsid w:val="0063521A"/>
    <w:rsid w:val="00635270"/>
    <w:rsid w:val="00635B5E"/>
    <w:rsid w:val="00637913"/>
    <w:rsid w:val="00640475"/>
    <w:rsid w:val="006409A0"/>
    <w:rsid w:val="00641215"/>
    <w:rsid w:val="00642778"/>
    <w:rsid w:val="00642B59"/>
    <w:rsid w:val="00642DAB"/>
    <w:rsid w:val="00642F07"/>
    <w:rsid w:val="00644349"/>
    <w:rsid w:val="006445AD"/>
    <w:rsid w:val="00645048"/>
    <w:rsid w:val="00645131"/>
    <w:rsid w:val="00647EF8"/>
    <w:rsid w:val="00647FDA"/>
    <w:rsid w:val="00650FB4"/>
    <w:rsid w:val="006513CE"/>
    <w:rsid w:val="0065201F"/>
    <w:rsid w:val="00652A0A"/>
    <w:rsid w:val="00653613"/>
    <w:rsid w:val="00653D83"/>
    <w:rsid w:val="00653F49"/>
    <w:rsid w:val="00653FC0"/>
    <w:rsid w:val="0065437F"/>
    <w:rsid w:val="00654B69"/>
    <w:rsid w:val="00656199"/>
    <w:rsid w:val="00656877"/>
    <w:rsid w:val="00656FD0"/>
    <w:rsid w:val="00656FF5"/>
    <w:rsid w:val="00660EAD"/>
    <w:rsid w:val="006620F3"/>
    <w:rsid w:val="0066247A"/>
    <w:rsid w:val="006624CE"/>
    <w:rsid w:val="00663241"/>
    <w:rsid w:val="00663AF4"/>
    <w:rsid w:val="00664554"/>
    <w:rsid w:val="00664658"/>
    <w:rsid w:val="00664A94"/>
    <w:rsid w:val="0066532B"/>
    <w:rsid w:val="00665847"/>
    <w:rsid w:val="00666549"/>
    <w:rsid w:val="00666613"/>
    <w:rsid w:val="00666DB2"/>
    <w:rsid w:val="006671F9"/>
    <w:rsid w:val="0067081E"/>
    <w:rsid w:val="00671857"/>
    <w:rsid w:val="00671B34"/>
    <w:rsid w:val="00675025"/>
    <w:rsid w:val="006757BA"/>
    <w:rsid w:val="00676F29"/>
    <w:rsid w:val="006775D2"/>
    <w:rsid w:val="006775E3"/>
    <w:rsid w:val="00677D2B"/>
    <w:rsid w:val="00682FAC"/>
    <w:rsid w:val="00684264"/>
    <w:rsid w:val="00684952"/>
    <w:rsid w:val="006852AF"/>
    <w:rsid w:val="006859FB"/>
    <w:rsid w:val="00686795"/>
    <w:rsid w:val="00686D38"/>
    <w:rsid w:val="006875CF"/>
    <w:rsid w:val="00687674"/>
    <w:rsid w:val="00687F08"/>
    <w:rsid w:val="00691BAD"/>
    <w:rsid w:val="00692244"/>
    <w:rsid w:val="0069269D"/>
    <w:rsid w:val="00695068"/>
    <w:rsid w:val="00695503"/>
    <w:rsid w:val="006958B8"/>
    <w:rsid w:val="00695EB8"/>
    <w:rsid w:val="00696B2B"/>
    <w:rsid w:val="00697EB8"/>
    <w:rsid w:val="006A0E3D"/>
    <w:rsid w:val="006A0FEC"/>
    <w:rsid w:val="006A14E2"/>
    <w:rsid w:val="006A1EC9"/>
    <w:rsid w:val="006A3F33"/>
    <w:rsid w:val="006A574C"/>
    <w:rsid w:val="006A61B9"/>
    <w:rsid w:val="006A6CF5"/>
    <w:rsid w:val="006A7203"/>
    <w:rsid w:val="006B0AA8"/>
    <w:rsid w:val="006B0D35"/>
    <w:rsid w:val="006B402E"/>
    <w:rsid w:val="006B5BA9"/>
    <w:rsid w:val="006B5D07"/>
    <w:rsid w:val="006B64E6"/>
    <w:rsid w:val="006B7639"/>
    <w:rsid w:val="006B7A5A"/>
    <w:rsid w:val="006B7D43"/>
    <w:rsid w:val="006C0161"/>
    <w:rsid w:val="006C05D9"/>
    <w:rsid w:val="006C09C8"/>
    <w:rsid w:val="006C25F9"/>
    <w:rsid w:val="006C300E"/>
    <w:rsid w:val="006C3852"/>
    <w:rsid w:val="006C4AB6"/>
    <w:rsid w:val="006C5544"/>
    <w:rsid w:val="006C5B31"/>
    <w:rsid w:val="006D09FD"/>
    <w:rsid w:val="006D0A01"/>
    <w:rsid w:val="006D0E3B"/>
    <w:rsid w:val="006D2E5E"/>
    <w:rsid w:val="006D48FD"/>
    <w:rsid w:val="006D5267"/>
    <w:rsid w:val="006D5450"/>
    <w:rsid w:val="006D5EC6"/>
    <w:rsid w:val="006D6302"/>
    <w:rsid w:val="006D7BAE"/>
    <w:rsid w:val="006E043E"/>
    <w:rsid w:val="006E0ECC"/>
    <w:rsid w:val="006E0FC6"/>
    <w:rsid w:val="006E106E"/>
    <w:rsid w:val="006E14CC"/>
    <w:rsid w:val="006E26CA"/>
    <w:rsid w:val="006E2962"/>
    <w:rsid w:val="006E3D7C"/>
    <w:rsid w:val="006E57AE"/>
    <w:rsid w:val="006E65F8"/>
    <w:rsid w:val="006E66EA"/>
    <w:rsid w:val="006F0822"/>
    <w:rsid w:val="006F0E54"/>
    <w:rsid w:val="006F130B"/>
    <w:rsid w:val="006F2111"/>
    <w:rsid w:val="006F3328"/>
    <w:rsid w:val="006F356F"/>
    <w:rsid w:val="006F36D3"/>
    <w:rsid w:val="006F37CD"/>
    <w:rsid w:val="006F3B86"/>
    <w:rsid w:val="006F3E3A"/>
    <w:rsid w:val="006F47A7"/>
    <w:rsid w:val="006F589E"/>
    <w:rsid w:val="006F62D1"/>
    <w:rsid w:val="006F6372"/>
    <w:rsid w:val="006F6E79"/>
    <w:rsid w:val="006F6F5F"/>
    <w:rsid w:val="006F7231"/>
    <w:rsid w:val="006F7D59"/>
    <w:rsid w:val="00700A38"/>
    <w:rsid w:val="00700D03"/>
    <w:rsid w:val="00700F94"/>
    <w:rsid w:val="00701519"/>
    <w:rsid w:val="00702C10"/>
    <w:rsid w:val="00703F2A"/>
    <w:rsid w:val="00704009"/>
    <w:rsid w:val="00705C68"/>
    <w:rsid w:val="00705F3E"/>
    <w:rsid w:val="00706EB3"/>
    <w:rsid w:val="00707011"/>
    <w:rsid w:val="0071063D"/>
    <w:rsid w:val="007110B6"/>
    <w:rsid w:val="007208B9"/>
    <w:rsid w:val="00720A1C"/>
    <w:rsid w:val="007215FE"/>
    <w:rsid w:val="00722762"/>
    <w:rsid w:val="00723EC2"/>
    <w:rsid w:val="007243C6"/>
    <w:rsid w:val="00726340"/>
    <w:rsid w:val="00726FC2"/>
    <w:rsid w:val="007278B8"/>
    <w:rsid w:val="00727B0C"/>
    <w:rsid w:val="00730227"/>
    <w:rsid w:val="00730E8D"/>
    <w:rsid w:val="0073233E"/>
    <w:rsid w:val="00732C28"/>
    <w:rsid w:val="0073376D"/>
    <w:rsid w:val="0073383C"/>
    <w:rsid w:val="00734C9F"/>
    <w:rsid w:val="007357D0"/>
    <w:rsid w:val="007368DF"/>
    <w:rsid w:val="00736DC4"/>
    <w:rsid w:val="00741046"/>
    <w:rsid w:val="00741BA3"/>
    <w:rsid w:val="007428A7"/>
    <w:rsid w:val="00742A16"/>
    <w:rsid w:val="00742ACB"/>
    <w:rsid w:val="00745000"/>
    <w:rsid w:val="00745C0E"/>
    <w:rsid w:val="00745DC7"/>
    <w:rsid w:val="007465EA"/>
    <w:rsid w:val="007479EC"/>
    <w:rsid w:val="00751A7C"/>
    <w:rsid w:val="00757876"/>
    <w:rsid w:val="00757B2C"/>
    <w:rsid w:val="00757E72"/>
    <w:rsid w:val="00757FCB"/>
    <w:rsid w:val="007651A5"/>
    <w:rsid w:val="0076559C"/>
    <w:rsid w:val="0076608E"/>
    <w:rsid w:val="0077161C"/>
    <w:rsid w:val="00771CE2"/>
    <w:rsid w:val="00771FA2"/>
    <w:rsid w:val="007727BF"/>
    <w:rsid w:val="00772921"/>
    <w:rsid w:val="007730F3"/>
    <w:rsid w:val="007731E3"/>
    <w:rsid w:val="00773D43"/>
    <w:rsid w:val="007748EB"/>
    <w:rsid w:val="007750E0"/>
    <w:rsid w:val="00775575"/>
    <w:rsid w:val="00775785"/>
    <w:rsid w:val="00777B13"/>
    <w:rsid w:val="00777BB3"/>
    <w:rsid w:val="00777E52"/>
    <w:rsid w:val="0078004E"/>
    <w:rsid w:val="00781FCB"/>
    <w:rsid w:val="00782644"/>
    <w:rsid w:val="00782AEB"/>
    <w:rsid w:val="007832F4"/>
    <w:rsid w:val="00783A2C"/>
    <w:rsid w:val="00783E01"/>
    <w:rsid w:val="00783EA0"/>
    <w:rsid w:val="00786AAC"/>
    <w:rsid w:val="007872CA"/>
    <w:rsid w:val="007875B8"/>
    <w:rsid w:val="00787751"/>
    <w:rsid w:val="007878F4"/>
    <w:rsid w:val="00787B15"/>
    <w:rsid w:val="0079025C"/>
    <w:rsid w:val="00792221"/>
    <w:rsid w:val="007949A7"/>
    <w:rsid w:val="0079702D"/>
    <w:rsid w:val="007A0734"/>
    <w:rsid w:val="007A0C42"/>
    <w:rsid w:val="007A0EBD"/>
    <w:rsid w:val="007A11F3"/>
    <w:rsid w:val="007A1367"/>
    <w:rsid w:val="007A1742"/>
    <w:rsid w:val="007A2FE3"/>
    <w:rsid w:val="007A42C3"/>
    <w:rsid w:val="007A62FD"/>
    <w:rsid w:val="007A6A79"/>
    <w:rsid w:val="007A6C22"/>
    <w:rsid w:val="007A6DED"/>
    <w:rsid w:val="007B1295"/>
    <w:rsid w:val="007B17C2"/>
    <w:rsid w:val="007B2102"/>
    <w:rsid w:val="007B3175"/>
    <w:rsid w:val="007B41D9"/>
    <w:rsid w:val="007B759A"/>
    <w:rsid w:val="007B7C39"/>
    <w:rsid w:val="007C0A0F"/>
    <w:rsid w:val="007C1252"/>
    <w:rsid w:val="007C2102"/>
    <w:rsid w:val="007C34F9"/>
    <w:rsid w:val="007C609C"/>
    <w:rsid w:val="007C6794"/>
    <w:rsid w:val="007C697B"/>
    <w:rsid w:val="007C6C53"/>
    <w:rsid w:val="007C6CE6"/>
    <w:rsid w:val="007C7325"/>
    <w:rsid w:val="007D13C6"/>
    <w:rsid w:val="007D16BC"/>
    <w:rsid w:val="007D1B8B"/>
    <w:rsid w:val="007D1F57"/>
    <w:rsid w:val="007D219B"/>
    <w:rsid w:val="007D3819"/>
    <w:rsid w:val="007D3B87"/>
    <w:rsid w:val="007D3E95"/>
    <w:rsid w:val="007D48BD"/>
    <w:rsid w:val="007D6E2B"/>
    <w:rsid w:val="007E0507"/>
    <w:rsid w:val="007E080F"/>
    <w:rsid w:val="007E22AC"/>
    <w:rsid w:val="007E3418"/>
    <w:rsid w:val="007E350F"/>
    <w:rsid w:val="007E3B70"/>
    <w:rsid w:val="007E410A"/>
    <w:rsid w:val="007E43EB"/>
    <w:rsid w:val="007E4FA1"/>
    <w:rsid w:val="007E7AA0"/>
    <w:rsid w:val="007F02DA"/>
    <w:rsid w:val="007F1020"/>
    <w:rsid w:val="007F1712"/>
    <w:rsid w:val="007F30E4"/>
    <w:rsid w:val="007F3284"/>
    <w:rsid w:val="007F34C8"/>
    <w:rsid w:val="007F3ED6"/>
    <w:rsid w:val="007F444D"/>
    <w:rsid w:val="007F5FED"/>
    <w:rsid w:val="007F65C6"/>
    <w:rsid w:val="007F6795"/>
    <w:rsid w:val="007F6DA9"/>
    <w:rsid w:val="007F72A9"/>
    <w:rsid w:val="007F76C9"/>
    <w:rsid w:val="00800BF3"/>
    <w:rsid w:val="008017B8"/>
    <w:rsid w:val="008033E4"/>
    <w:rsid w:val="00803B4F"/>
    <w:rsid w:val="00803CED"/>
    <w:rsid w:val="00804460"/>
    <w:rsid w:val="008047F5"/>
    <w:rsid w:val="00804F46"/>
    <w:rsid w:val="00804FEA"/>
    <w:rsid w:val="00805215"/>
    <w:rsid w:val="00805BC2"/>
    <w:rsid w:val="00806A6E"/>
    <w:rsid w:val="008107EA"/>
    <w:rsid w:val="0081097F"/>
    <w:rsid w:val="0081163C"/>
    <w:rsid w:val="00811FCD"/>
    <w:rsid w:val="00812459"/>
    <w:rsid w:val="0081261F"/>
    <w:rsid w:val="00812876"/>
    <w:rsid w:val="00812BD9"/>
    <w:rsid w:val="00812D99"/>
    <w:rsid w:val="00813ADC"/>
    <w:rsid w:val="0081463E"/>
    <w:rsid w:val="00814879"/>
    <w:rsid w:val="008164D9"/>
    <w:rsid w:val="0081683E"/>
    <w:rsid w:val="00817B82"/>
    <w:rsid w:val="00820BB4"/>
    <w:rsid w:val="00820D05"/>
    <w:rsid w:val="00822134"/>
    <w:rsid w:val="00823E85"/>
    <w:rsid w:val="00825B86"/>
    <w:rsid w:val="00825CF2"/>
    <w:rsid w:val="00827945"/>
    <w:rsid w:val="00831068"/>
    <w:rsid w:val="008326C3"/>
    <w:rsid w:val="00832D29"/>
    <w:rsid w:val="00833440"/>
    <w:rsid w:val="00833802"/>
    <w:rsid w:val="008338F6"/>
    <w:rsid w:val="008347D8"/>
    <w:rsid w:val="00834E20"/>
    <w:rsid w:val="008353A7"/>
    <w:rsid w:val="008355D0"/>
    <w:rsid w:val="00840121"/>
    <w:rsid w:val="008401C5"/>
    <w:rsid w:val="00840AD8"/>
    <w:rsid w:val="00841AF8"/>
    <w:rsid w:val="0084401F"/>
    <w:rsid w:val="00844E07"/>
    <w:rsid w:val="00845023"/>
    <w:rsid w:val="0084539E"/>
    <w:rsid w:val="00845DD8"/>
    <w:rsid w:val="00846948"/>
    <w:rsid w:val="00847575"/>
    <w:rsid w:val="00847B80"/>
    <w:rsid w:val="00850C91"/>
    <w:rsid w:val="00851D6E"/>
    <w:rsid w:val="00852273"/>
    <w:rsid w:val="00853DE4"/>
    <w:rsid w:val="00854C25"/>
    <w:rsid w:val="0085648B"/>
    <w:rsid w:val="00857408"/>
    <w:rsid w:val="00860174"/>
    <w:rsid w:val="008623E5"/>
    <w:rsid w:val="00863774"/>
    <w:rsid w:val="00863BE2"/>
    <w:rsid w:val="00864A89"/>
    <w:rsid w:val="00865CD3"/>
    <w:rsid w:val="00865ED8"/>
    <w:rsid w:val="00866C83"/>
    <w:rsid w:val="0086700C"/>
    <w:rsid w:val="00870227"/>
    <w:rsid w:val="00870659"/>
    <w:rsid w:val="00870F56"/>
    <w:rsid w:val="00870FD0"/>
    <w:rsid w:val="00871BD7"/>
    <w:rsid w:val="00872578"/>
    <w:rsid w:val="008730F0"/>
    <w:rsid w:val="008736A3"/>
    <w:rsid w:val="00873995"/>
    <w:rsid w:val="00873F14"/>
    <w:rsid w:val="0087487D"/>
    <w:rsid w:val="00874F13"/>
    <w:rsid w:val="0087563C"/>
    <w:rsid w:val="00875856"/>
    <w:rsid w:val="00875AB5"/>
    <w:rsid w:val="00875EDD"/>
    <w:rsid w:val="00875F76"/>
    <w:rsid w:val="00876E4F"/>
    <w:rsid w:val="008803A2"/>
    <w:rsid w:val="00880633"/>
    <w:rsid w:val="00881B19"/>
    <w:rsid w:val="00881C89"/>
    <w:rsid w:val="00882049"/>
    <w:rsid w:val="008826ED"/>
    <w:rsid w:val="00883E9D"/>
    <w:rsid w:val="00883F73"/>
    <w:rsid w:val="008840DF"/>
    <w:rsid w:val="008841D8"/>
    <w:rsid w:val="00884B81"/>
    <w:rsid w:val="00885216"/>
    <w:rsid w:val="0088783E"/>
    <w:rsid w:val="00891049"/>
    <w:rsid w:val="00891183"/>
    <w:rsid w:val="00891940"/>
    <w:rsid w:val="00891FCD"/>
    <w:rsid w:val="008928EE"/>
    <w:rsid w:val="00893001"/>
    <w:rsid w:val="00893B66"/>
    <w:rsid w:val="008940C2"/>
    <w:rsid w:val="00894410"/>
    <w:rsid w:val="008A1EF5"/>
    <w:rsid w:val="008A1F0E"/>
    <w:rsid w:val="008A1F8C"/>
    <w:rsid w:val="008A2188"/>
    <w:rsid w:val="008A29E8"/>
    <w:rsid w:val="008A2CB4"/>
    <w:rsid w:val="008A35A0"/>
    <w:rsid w:val="008A4320"/>
    <w:rsid w:val="008A48CC"/>
    <w:rsid w:val="008A4C0E"/>
    <w:rsid w:val="008A5BBF"/>
    <w:rsid w:val="008A6809"/>
    <w:rsid w:val="008A6DD7"/>
    <w:rsid w:val="008B0014"/>
    <w:rsid w:val="008B051E"/>
    <w:rsid w:val="008B1266"/>
    <w:rsid w:val="008B4471"/>
    <w:rsid w:val="008B5B64"/>
    <w:rsid w:val="008B5D15"/>
    <w:rsid w:val="008B702B"/>
    <w:rsid w:val="008C016D"/>
    <w:rsid w:val="008C044F"/>
    <w:rsid w:val="008C1386"/>
    <w:rsid w:val="008C287E"/>
    <w:rsid w:val="008C3049"/>
    <w:rsid w:val="008C343D"/>
    <w:rsid w:val="008C3EEB"/>
    <w:rsid w:val="008C40F6"/>
    <w:rsid w:val="008C425C"/>
    <w:rsid w:val="008C49F5"/>
    <w:rsid w:val="008C5055"/>
    <w:rsid w:val="008C6EB8"/>
    <w:rsid w:val="008C7A23"/>
    <w:rsid w:val="008C7FD4"/>
    <w:rsid w:val="008D0806"/>
    <w:rsid w:val="008D093F"/>
    <w:rsid w:val="008D100C"/>
    <w:rsid w:val="008D1789"/>
    <w:rsid w:val="008D2A49"/>
    <w:rsid w:val="008D2BFA"/>
    <w:rsid w:val="008D38CA"/>
    <w:rsid w:val="008D5ED1"/>
    <w:rsid w:val="008D726B"/>
    <w:rsid w:val="008E0A89"/>
    <w:rsid w:val="008E37BA"/>
    <w:rsid w:val="008E42E7"/>
    <w:rsid w:val="008E469D"/>
    <w:rsid w:val="008E5029"/>
    <w:rsid w:val="008E504D"/>
    <w:rsid w:val="008E5351"/>
    <w:rsid w:val="008E5C1E"/>
    <w:rsid w:val="008E625E"/>
    <w:rsid w:val="008E6C2B"/>
    <w:rsid w:val="008E6CA7"/>
    <w:rsid w:val="008E70DB"/>
    <w:rsid w:val="008F14CB"/>
    <w:rsid w:val="008F2631"/>
    <w:rsid w:val="008F3C42"/>
    <w:rsid w:val="008F6A40"/>
    <w:rsid w:val="008F6D7C"/>
    <w:rsid w:val="008F7E29"/>
    <w:rsid w:val="00900956"/>
    <w:rsid w:val="00900B01"/>
    <w:rsid w:val="00900B93"/>
    <w:rsid w:val="0090118C"/>
    <w:rsid w:val="00901D83"/>
    <w:rsid w:val="00904753"/>
    <w:rsid w:val="0090490A"/>
    <w:rsid w:val="009049F8"/>
    <w:rsid w:val="00905EC7"/>
    <w:rsid w:val="009102B6"/>
    <w:rsid w:val="00910482"/>
    <w:rsid w:val="0091065D"/>
    <w:rsid w:val="00910AC4"/>
    <w:rsid w:val="0091195B"/>
    <w:rsid w:val="00911D88"/>
    <w:rsid w:val="00911F5B"/>
    <w:rsid w:val="00913286"/>
    <w:rsid w:val="00913990"/>
    <w:rsid w:val="00917552"/>
    <w:rsid w:val="00920B40"/>
    <w:rsid w:val="00923C78"/>
    <w:rsid w:val="009257AB"/>
    <w:rsid w:val="009257FF"/>
    <w:rsid w:val="00925E43"/>
    <w:rsid w:val="009261F2"/>
    <w:rsid w:val="00926347"/>
    <w:rsid w:val="009264CA"/>
    <w:rsid w:val="00927083"/>
    <w:rsid w:val="00930234"/>
    <w:rsid w:val="0093079F"/>
    <w:rsid w:val="00930801"/>
    <w:rsid w:val="009309ED"/>
    <w:rsid w:val="00932155"/>
    <w:rsid w:val="00933243"/>
    <w:rsid w:val="009337EA"/>
    <w:rsid w:val="00933AAE"/>
    <w:rsid w:val="00933DB1"/>
    <w:rsid w:val="00934CFE"/>
    <w:rsid w:val="00935CB7"/>
    <w:rsid w:val="00937FB4"/>
    <w:rsid w:val="009405E4"/>
    <w:rsid w:val="00940E64"/>
    <w:rsid w:val="00943DEC"/>
    <w:rsid w:val="009442B1"/>
    <w:rsid w:val="00944FBF"/>
    <w:rsid w:val="009456DC"/>
    <w:rsid w:val="00945753"/>
    <w:rsid w:val="00945A3C"/>
    <w:rsid w:val="009467F4"/>
    <w:rsid w:val="0094768A"/>
    <w:rsid w:val="009479F0"/>
    <w:rsid w:val="00947EDC"/>
    <w:rsid w:val="00950B79"/>
    <w:rsid w:val="00952EE9"/>
    <w:rsid w:val="00953AB7"/>
    <w:rsid w:val="00954359"/>
    <w:rsid w:val="00956A38"/>
    <w:rsid w:val="00956CE1"/>
    <w:rsid w:val="00956E72"/>
    <w:rsid w:val="00961752"/>
    <w:rsid w:val="00961A6A"/>
    <w:rsid w:val="00962FD0"/>
    <w:rsid w:val="00964219"/>
    <w:rsid w:val="00964E0B"/>
    <w:rsid w:val="00965421"/>
    <w:rsid w:val="00965519"/>
    <w:rsid w:val="00966401"/>
    <w:rsid w:val="0096761E"/>
    <w:rsid w:val="0096795E"/>
    <w:rsid w:val="00970C04"/>
    <w:rsid w:val="00970E54"/>
    <w:rsid w:val="00973891"/>
    <w:rsid w:val="00974274"/>
    <w:rsid w:val="0097452D"/>
    <w:rsid w:val="00975A45"/>
    <w:rsid w:val="009761CA"/>
    <w:rsid w:val="009775F8"/>
    <w:rsid w:val="00980385"/>
    <w:rsid w:val="00981388"/>
    <w:rsid w:val="0098170D"/>
    <w:rsid w:val="00981D2E"/>
    <w:rsid w:val="00982D03"/>
    <w:rsid w:val="009850AA"/>
    <w:rsid w:val="00987A04"/>
    <w:rsid w:val="00987F14"/>
    <w:rsid w:val="00990854"/>
    <w:rsid w:val="00992F92"/>
    <w:rsid w:val="0099316F"/>
    <w:rsid w:val="009932F1"/>
    <w:rsid w:val="00993798"/>
    <w:rsid w:val="0099389F"/>
    <w:rsid w:val="00995645"/>
    <w:rsid w:val="00995B10"/>
    <w:rsid w:val="00997188"/>
    <w:rsid w:val="009A02E0"/>
    <w:rsid w:val="009A16E8"/>
    <w:rsid w:val="009A2293"/>
    <w:rsid w:val="009A37D0"/>
    <w:rsid w:val="009A4BB6"/>
    <w:rsid w:val="009A5EB8"/>
    <w:rsid w:val="009A6AC0"/>
    <w:rsid w:val="009A78EA"/>
    <w:rsid w:val="009A7AC4"/>
    <w:rsid w:val="009B0C8D"/>
    <w:rsid w:val="009B0FE7"/>
    <w:rsid w:val="009B234B"/>
    <w:rsid w:val="009B2D60"/>
    <w:rsid w:val="009B30AB"/>
    <w:rsid w:val="009B3D59"/>
    <w:rsid w:val="009B48BA"/>
    <w:rsid w:val="009B48EB"/>
    <w:rsid w:val="009B5190"/>
    <w:rsid w:val="009B5A04"/>
    <w:rsid w:val="009B70A5"/>
    <w:rsid w:val="009B7563"/>
    <w:rsid w:val="009C111A"/>
    <w:rsid w:val="009C1F9F"/>
    <w:rsid w:val="009C36C5"/>
    <w:rsid w:val="009C41E8"/>
    <w:rsid w:val="009C5D73"/>
    <w:rsid w:val="009C67E8"/>
    <w:rsid w:val="009C70B2"/>
    <w:rsid w:val="009C720B"/>
    <w:rsid w:val="009C7FA1"/>
    <w:rsid w:val="009D0A5A"/>
    <w:rsid w:val="009D1155"/>
    <w:rsid w:val="009D16D8"/>
    <w:rsid w:val="009D19AD"/>
    <w:rsid w:val="009D4086"/>
    <w:rsid w:val="009D43C8"/>
    <w:rsid w:val="009D4AF3"/>
    <w:rsid w:val="009D4EDF"/>
    <w:rsid w:val="009D55DE"/>
    <w:rsid w:val="009D7EB1"/>
    <w:rsid w:val="009E078F"/>
    <w:rsid w:val="009E20DC"/>
    <w:rsid w:val="009E4E5C"/>
    <w:rsid w:val="009E5C6A"/>
    <w:rsid w:val="009E5CE2"/>
    <w:rsid w:val="009E5EBB"/>
    <w:rsid w:val="009E5F20"/>
    <w:rsid w:val="009E66F5"/>
    <w:rsid w:val="009E6AE9"/>
    <w:rsid w:val="009E76B7"/>
    <w:rsid w:val="009F0523"/>
    <w:rsid w:val="009F0AEE"/>
    <w:rsid w:val="009F0B1C"/>
    <w:rsid w:val="009F1147"/>
    <w:rsid w:val="009F12D4"/>
    <w:rsid w:val="009F13E0"/>
    <w:rsid w:val="009F3858"/>
    <w:rsid w:val="009F3A14"/>
    <w:rsid w:val="009F43CD"/>
    <w:rsid w:val="009F47CE"/>
    <w:rsid w:val="009F63BE"/>
    <w:rsid w:val="009F6898"/>
    <w:rsid w:val="009F6A86"/>
    <w:rsid w:val="009F7511"/>
    <w:rsid w:val="009F7C5B"/>
    <w:rsid w:val="00A0007D"/>
    <w:rsid w:val="00A00979"/>
    <w:rsid w:val="00A01F19"/>
    <w:rsid w:val="00A02078"/>
    <w:rsid w:val="00A0229F"/>
    <w:rsid w:val="00A03779"/>
    <w:rsid w:val="00A03A53"/>
    <w:rsid w:val="00A05655"/>
    <w:rsid w:val="00A06820"/>
    <w:rsid w:val="00A10969"/>
    <w:rsid w:val="00A11B95"/>
    <w:rsid w:val="00A1237A"/>
    <w:rsid w:val="00A12C42"/>
    <w:rsid w:val="00A1329A"/>
    <w:rsid w:val="00A14A0D"/>
    <w:rsid w:val="00A1523C"/>
    <w:rsid w:val="00A15245"/>
    <w:rsid w:val="00A1551C"/>
    <w:rsid w:val="00A15A67"/>
    <w:rsid w:val="00A15F58"/>
    <w:rsid w:val="00A1600A"/>
    <w:rsid w:val="00A20790"/>
    <w:rsid w:val="00A2151A"/>
    <w:rsid w:val="00A22C16"/>
    <w:rsid w:val="00A232F0"/>
    <w:rsid w:val="00A23566"/>
    <w:rsid w:val="00A2473A"/>
    <w:rsid w:val="00A254F7"/>
    <w:rsid w:val="00A27A37"/>
    <w:rsid w:val="00A300B9"/>
    <w:rsid w:val="00A30A6C"/>
    <w:rsid w:val="00A31918"/>
    <w:rsid w:val="00A31C98"/>
    <w:rsid w:val="00A33633"/>
    <w:rsid w:val="00A33A05"/>
    <w:rsid w:val="00A373CD"/>
    <w:rsid w:val="00A374AB"/>
    <w:rsid w:val="00A4041B"/>
    <w:rsid w:val="00A408B4"/>
    <w:rsid w:val="00A41F11"/>
    <w:rsid w:val="00A429E1"/>
    <w:rsid w:val="00A43843"/>
    <w:rsid w:val="00A446DA"/>
    <w:rsid w:val="00A458FE"/>
    <w:rsid w:val="00A46439"/>
    <w:rsid w:val="00A465E5"/>
    <w:rsid w:val="00A46808"/>
    <w:rsid w:val="00A46C50"/>
    <w:rsid w:val="00A47281"/>
    <w:rsid w:val="00A51AA4"/>
    <w:rsid w:val="00A51E5C"/>
    <w:rsid w:val="00A520B5"/>
    <w:rsid w:val="00A52E70"/>
    <w:rsid w:val="00A54F5A"/>
    <w:rsid w:val="00A5697E"/>
    <w:rsid w:val="00A57578"/>
    <w:rsid w:val="00A57722"/>
    <w:rsid w:val="00A614CA"/>
    <w:rsid w:val="00A61DE6"/>
    <w:rsid w:val="00A61FF9"/>
    <w:rsid w:val="00A628EE"/>
    <w:rsid w:val="00A63160"/>
    <w:rsid w:val="00A63991"/>
    <w:rsid w:val="00A658CC"/>
    <w:rsid w:val="00A66EBF"/>
    <w:rsid w:val="00A67307"/>
    <w:rsid w:val="00A7016A"/>
    <w:rsid w:val="00A73986"/>
    <w:rsid w:val="00A741CA"/>
    <w:rsid w:val="00A74D46"/>
    <w:rsid w:val="00A76093"/>
    <w:rsid w:val="00A77697"/>
    <w:rsid w:val="00A8014F"/>
    <w:rsid w:val="00A804A3"/>
    <w:rsid w:val="00A81182"/>
    <w:rsid w:val="00A81A82"/>
    <w:rsid w:val="00A8216A"/>
    <w:rsid w:val="00A82B5A"/>
    <w:rsid w:val="00A84B6D"/>
    <w:rsid w:val="00A85A75"/>
    <w:rsid w:val="00A86398"/>
    <w:rsid w:val="00A865A1"/>
    <w:rsid w:val="00A877C7"/>
    <w:rsid w:val="00A87DB3"/>
    <w:rsid w:val="00A901AF"/>
    <w:rsid w:val="00A902F2"/>
    <w:rsid w:val="00A92242"/>
    <w:rsid w:val="00A92533"/>
    <w:rsid w:val="00A95118"/>
    <w:rsid w:val="00A9768B"/>
    <w:rsid w:val="00AA148A"/>
    <w:rsid w:val="00AA14D7"/>
    <w:rsid w:val="00AA1D0D"/>
    <w:rsid w:val="00AA2156"/>
    <w:rsid w:val="00AA2CDF"/>
    <w:rsid w:val="00AA454E"/>
    <w:rsid w:val="00AA4DD2"/>
    <w:rsid w:val="00AA592D"/>
    <w:rsid w:val="00AA67D6"/>
    <w:rsid w:val="00AA716E"/>
    <w:rsid w:val="00AB1F0B"/>
    <w:rsid w:val="00AB2DD1"/>
    <w:rsid w:val="00AB33C5"/>
    <w:rsid w:val="00AB35C4"/>
    <w:rsid w:val="00AB3AC6"/>
    <w:rsid w:val="00AB4318"/>
    <w:rsid w:val="00AB4B8A"/>
    <w:rsid w:val="00AB512C"/>
    <w:rsid w:val="00AB5E32"/>
    <w:rsid w:val="00AB6171"/>
    <w:rsid w:val="00AB6551"/>
    <w:rsid w:val="00AB6E0B"/>
    <w:rsid w:val="00AB74C3"/>
    <w:rsid w:val="00AC0996"/>
    <w:rsid w:val="00AC0BA6"/>
    <w:rsid w:val="00AC2E62"/>
    <w:rsid w:val="00AC3E85"/>
    <w:rsid w:val="00AC719B"/>
    <w:rsid w:val="00AD068C"/>
    <w:rsid w:val="00AD19BB"/>
    <w:rsid w:val="00AD19E0"/>
    <w:rsid w:val="00AD27DA"/>
    <w:rsid w:val="00AD4AD6"/>
    <w:rsid w:val="00AD4F46"/>
    <w:rsid w:val="00AD54F9"/>
    <w:rsid w:val="00AD5A18"/>
    <w:rsid w:val="00AD6860"/>
    <w:rsid w:val="00AE0098"/>
    <w:rsid w:val="00AE0290"/>
    <w:rsid w:val="00AE1175"/>
    <w:rsid w:val="00AE1680"/>
    <w:rsid w:val="00AE1949"/>
    <w:rsid w:val="00AE19A1"/>
    <w:rsid w:val="00AE1B45"/>
    <w:rsid w:val="00AE27AA"/>
    <w:rsid w:val="00AE2C74"/>
    <w:rsid w:val="00AE41DC"/>
    <w:rsid w:val="00AE4337"/>
    <w:rsid w:val="00AE47FC"/>
    <w:rsid w:val="00AE6A24"/>
    <w:rsid w:val="00AE72B7"/>
    <w:rsid w:val="00AF0F05"/>
    <w:rsid w:val="00AF4088"/>
    <w:rsid w:val="00AF42F5"/>
    <w:rsid w:val="00AF4943"/>
    <w:rsid w:val="00AF61B4"/>
    <w:rsid w:val="00AF64A9"/>
    <w:rsid w:val="00AF6851"/>
    <w:rsid w:val="00B0050B"/>
    <w:rsid w:val="00B017CC"/>
    <w:rsid w:val="00B023CB"/>
    <w:rsid w:val="00B033D3"/>
    <w:rsid w:val="00B03A1F"/>
    <w:rsid w:val="00B03B62"/>
    <w:rsid w:val="00B03D2E"/>
    <w:rsid w:val="00B04833"/>
    <w:rsid w:val="00B062AE"/>
    <w:rsid w:val="00B06B89"/>
    <w:rsid w:val="00B06F35"/>
    <w:rsid w:val="00B0739B"/>
    <w:rsid w:val="00B07839"/>
    <w:rsid w:val="00B137E3"/>
    <w:rsid w:val="00B141B8"/>
    <w:rsid w:val="00B1458D"/>
    <w:rsid w:val="00B14FA2"/>
    <w:rsid w:val="00B1507B"/>
    <w:rsid w:val="00B1530E"/>
    <w:rsid w:val="00B15908"/>
    <w:rsid w:val="00B15DD0"/>
    <w:rsid w:val="00B162E0"/>
    <w:rsid w:val="00B165EE"/>
    <w:rsid w:val="00B166A0"/>
    <w:rsid w:val="00B176D3"/>
    <w:rsid w:val="00B22667"/>
    <w:rsid w:val="00B23A54"/>
    <w:rsid w:val="00B24416"/>
    <w:rsid w:val="00B24508"/>
    <w:rsid w:val="00B24700"/>
    <w:rsid w:val="00B24926"/>
    <w:rsid w:val="00B2505D"/>
    <w:rsid w:val="00B2560E"/>
    <w:rsid w:val="00B25821"/>
    <w:rsid w:val="00B268C9"/>
    <w:rsid w:val="00B2777E"/>
    <w:rsid w:val="00B27C33"/>
    <w:rsid w:val="00B30462"/>
    <w:rsid w:val="00B307D0"/>
    <w:rsid w:val="00B30C9A"/>
    <w:rsid w:val="00B318C3"/>
    <w:rsid w:val="00B3223B"/>
    <w:rsid w:val="00B3354E"/>
    <w:rsid w:val="00B33BF7"/>
    <w:rsid w:val="00B33D87"/>
    <w:rsid w:val="00B34912"/>
    <w:rsid w:val="00B350B0"/>
    <w:rsid w:val="00B35193"/>
    <w:rsid w:val="00B352ED"/>
    <w:rsid w:val="00B36A41"/>
    <w:rsid w:val="00B377E7"/>
    <w:rsid w:val="00B40021"/>
    <w:rsid w:val="00B402E3"/>
    <w:rsid w:val="00B40949"/>
    <w:rsid w:val="00B4145B"/>
    <w:rsid w:val="00B42649"/>
    <w:rsid w:val="00B43CFD"/>
    <w:rsid w:val="00B44580"/>
    <w:rsid w:val="00B4490D"/>
    <w:rsid w:val="00B45664"/>
    <w:rsid w:val="00B45A30"/>
    <w:rsid w:val="00B45F85"/>
    <w:rsid w:val="00B47671"/>
    <w:rsid w:val="00B47CAD"/>
    <w:rsid w:val="00B50317"/>
    <w:rsid w:val="00B527E3"/>
    <w:rsid w:val="00B53023"/>
    <w:rsid w:val="00B532CB"/>
    <w:rsid w:val="00B55E96"/>
    <w:rsid w:val="00B56024"/>
    <w:rsid w:val="00B56506"/>
    <w:rsid w:val="00B60ADA"/>
    <w:rsid w:val="00B60F35"/>
    <w:rsid w:val="00B61319"/>
    <w:rsid w:val="00B650ED"/>
    <w:rsid w:val="00B65134"/>
    <w:rsid w:val="00B6521C"/>
    <w:rsid w:val="00B66AE1"/>
    <w:rsid w:val="00B66F41"/>
    <w:rsid w:val="00B675E4"/>
    <w:rsid w:val="00B676CA"/>
    <w:rsid w:val="00B704AB"/>
    <w:rsid w:val="00B709A4"/>
    <w:rsid w:val="00B70A85"/>
    <w:rsid w:val="00B70EAC"/>
    <w:rsid w:val="00B71273"/>
    <w:rsid w:val="00B71DE3"/>
    <w:rsid w:val="00B737AF"/>
    <w:rsid w:val="00B739D0"/>
    <w:rsid w:val="00B740ED"/>
    <w:rsid w:val="00B74DF8"/>
    <w:rsid w:val="00B757EA"/>
    <w:rsid w:val="00B7611B"/>
    <w:rsid w:val="00B76A75"/>
    <w:rsid w:val="00B76AD6"/>
    <w:rsid w:val="00B77903"/>
    <w:rsid w:val="00B80507"/>
    <w:rsid w:val="00B80871"/>
    <w:rsid w:val="00B80BCB"/>
    <w:rsid w:val="00B826E2"/>
    <w:rsid w:val="00B82773"/>
    <w:rsid w:val="00B8339A"/>
    <w:rsid w:val="00B84DC6"/>
    <w:rsid w:val="00B86583"/>
    <w:rsid w:val="00B86C6B"/>
    <w:rsid w:val="00B875EC"/>
    <w:rsid w:val="00B90A37"/>
    <w:rsid w:val="00B91E76"/>
    <w:rsid w:val="00B91FA5"/>
    <w:rsid w:val="00B93212"/>
    <w:rsid w:val="00B93266"/>
    <w:rsid w:val="00B93D5A"/>
    <w:rsid w:val="00B95202"/>
    <w:rsid w:val="00B95B85"/>
    <w:rsid w:val="00B96BCA"/>
    <w:rsid w:val="00B972C5"/>
    <w:rsid w:val="00BA0BC8"/>
    <w:rsid w:val="00BA1C63"/>
    <w:rsid w:val="00BA53CE"/>
    <w:rsid w:val="00BA5995"/>
    <w:rsid w:val="00BA5E3C"/>
    <w:rsid w:val="00BA64F1"/>
    <w:rsid w:val="00BB0702"/>
    <w:rsid w:val="00BB0AFC"/>
    <w:rsid w:val="00BB0C95"/>
    <w:rsid w:val="00BB0D37"/>
    <w:rsid w:val="00BB0FB2"/>
    <w:rsid w:val="00BB23B3"/>
    <w:rsid w:val="00BB27F1"/>
    <w:rsid w:val="00BB2ECD"/>
    <w:rsid w:val="00BB3221"/>
    <w:rsid w:val="00BB5266"/>
    <w:rsid w:val="00BB52E0"/>
    <w:rsid w:val="00BB5E00"/>
    <w:rsid w:val="00BC0404"/>
    <w:rsid w:val="00BC19FF"/>
    <w:rsid w:val="00BC1DB6"/>
    <w:rsid w:val="00BC22D1"/>
    <w:rsid w:val="00BC2629"/>
    <w:rsid w:val="00BC4053"/>
    <w:rsid w:val="00BC479F"/>
    <w:rsid w:val="00BC4E2F"/>
    <w:rsid w:val="00BC4F9B"/>
    <w:rsid w:val="00BC60E4"/>
    <w:rsid w:val="00BC633C"/>
    <w:rsid w:val="00BC6875"/>
    <w:rsid w:val="00BC6C4F"/>
    <w:rsid w:val="00BC777F"/>
    <w:rsid w:val="00BD084F"/>
    <w:rsid w:val="00BD155E"/>
    <w:rsid w:val="00BD1B67"/>
    <w:rsid w:val="00BD1BDA"/>
    <w:rsid w:val="00BD1E2B"/>
    <w:rsid w:val="00BD1E80"/>
    <w:rsid w:val="00BD2A9F"/>
    <w:rsid w:val="00BD2F78"/>
    <w:rsid w:val="00BD31B4"/>
    <w:rsid w:val="00BD361E"/>
    <w:rsid w:val="00BD3E51"/>
    <w:rsid w:val="00BD4610"/>
    <w:rsid w:val="00BE118A"/>
    <w:rsid w:val="00BE1F7B"/>
    <w:rsid w:val="00BE2E1D"/>
    <w:rsid w:val="00BE4039"/>
    <w:rsid w:val="00BE432A"/>
    <w:rsid w:val="00BE4989"/>
    <w:rsid w:val="00BE5DFD"/>
    <w:rsid w:val="00BE6319"/>
    <w:rsid w:val="00BE64BE"/>
    <w:rsid w:val="00BE6F13"/>
    <w:rsid w:val="00BF157D"/>
    <w:rsid w:val="00BF17AE"/>
    <w:rsid w:val="00BF1C95"/>
    <w:rsid w:val="00BF1F26"/>
    <w:rsid w:val="00BF24C4"/>
    <w:rsid w:val="00BF3955"/>
    <w:rsid w:val="00BF459A"/>
    <w:rsid w:val="00BF7C68"/>
    <w:rsid w:val="00BF7CC1"/>
    <w:rsid w:val="00BF7F49"/>
    <w:rsid w:val="00C00B1C"/>
    <w:rsid w:val="00C00C5D"/>
    <w:rsid w:val="00C0112B"/>
    <w:rsid w:val="00C01BB6"/>
    <w:rsid w:val="00C0292C"/>
    <w:rsid w:val="00C02B52"/>
    <w:rsid w:val="00C02B96"/>
    <w:rsid w:val="00C02D0D"/>
    <w:rsid w:val="00C040B2"/>
    <w:rsid w:val="00C05A4F"/>
    <w:rsid w:val="00C0700F"/>
    <w:rsid w:val="00C07404"/>
    <w:rsid w:val="00C10C2F"/>
    <w:rsid w:val="00C10E61"/>
    <w:rsid w:val="00C1134F"/>
    <w:rsid w:val="00C15953"/>
    <w:rsid w:val="00C16B12"/>
    <w:rsid w:val="00C16D90"/>
    <w:rsid w:val="00C16E68"/>
    <w:rsid w:val="00C17F46"/>
    <w:rsid w:val="00C20F24"/>
    <w:rsid w:val="00C24442"/>
    <w:rsid w:val="00C2471B"/>
    <w:rsid w:val="00C248D8"/>
    <w:rsid w:val="00C25CC9"/>
    <w:rsid w:val="00C25F93"/>
    <w:rsid w:val="00C26DCA"/>
    <w:rsid w:val="00C27DEC"/>
    <w:rsid w:val="00C30F8A"/>
    <w:rsid w:val="00C323F7"/>
    <w:rsid w:val="00C32B8D"/>
    <w:rsid w:val="00C32C46"/>
    <w:rsid w:val="00C33C37"/>
    <w:rsid w:val="00C346BE"/>
    <w:rsid w:val="00C35FDE"/>
    <w:rsid w:val="00C36EA2"/>
    <w:rsid w:val="00C41684"/>
    <w:rsid w:val="00C41799"/>
    <w:rsid w:val="00C42C50"/>
    <w:rsid w:val="00C43371"/>
    <w:rsid w:val="00C447A8"/>
    <w:rsid w:val="00C44F5E"/>
    <w:rsid w:val="00C50C54"/>
    <w:rsid w:val="00C52A5A"/>
    <w:rsid w:val="00C53F1E"/>
    <w:rsid w:val="00C550AB"/>
    <w:rsid w:val="00C55CBC"/>
    <w:rsid w:val="00C55E6B"/>
    <w:rsid w:val="00C56E82"/>
    <w:rsid w:val="00C60659"/>
    <w:rsid w:val="00C60838"/>
    <w:rsid w:val="00C60916"/>
    <w:rsid w:val="00C60D95"/>
    <w:rsid w:val="00C61182"/>
    <w:rsid w:val="00C6257D"/>
    <w:rsid w:val="00C6279B"/>
    <w:rsid w:val="00C64689"/>
    <w:rsid w:val="00C657F4"/>
    <w:rsid w:val="00C660A9"/>
    <w:rsid w:val="00C6644E"/>
    <w:rsid w:val="00C66A78"/>
    <w:rsid w:val="00C66B22"/>
    <w:rsid w:val="00C6785F"/>
    <w:rsid w:val="00C7033B"/>
    <w:rsid w:val="00C707C7"/>
    <w:rsid w:val="00C70DDE"/>
    <w:rsid w:val="00C716A9"/>
    <w:rsid w:val="00C71E57"/>
    <w:rsid w:val="00C721E2"/>
    <w:rsid w:val="00C72CB6"/>
    <w:rsid w:val="00C746A8"/>
    <w:rsid w:val="00C750B2"/>
    <w:rsid w:val="00C75E91"/>
    <w:rsid w:val="00C76D42"/>
    <w:rsid w:val="00C805D4"/>
    <w:rsid w:val="00C80E10"/>
    <w:rsid w:val="00C81016"/>
    <w:rsid w:val="00C81283"/>
    <w:rsid w:val="00C81C30"/>
    <w:rsid w:val="00C81E1A"/>
    <w:rsid w:val="00C81EF9"/>
    <w:rsid w:val="00C82A8E"/>
    <w:rsid w:val="00C830B2"/>
    <w:rsid w:val="00C8478B"/>
    <w:rsid w:val="00C84FBC"/>
    <w:rsid w:val="00C85E90"/>
    <w:rsid w:val="00C8670D"/>
    <w:rsid w:val="00C86F21"/>
    <w:rsid w:val="00C87DFA"/>
    <w:rsid w:val="00C902FA"/>
    <w:rsid w:val="00C9070D"/>
    <w:rsid w:val="00C90C5B"/>
    <w:rsid w:val="00C90DC5"/>
    <w:rsid w:val="00C90F42"/>
    <w:rsid w:val="00C90FA0"/>
    <w:rsid w:val="00C91216"/>
    <w:rsid w:val="00C92684"/>
    <w:rsid w:val="00C93621"/>
    <w:rsid w:val="00C94281"/>
    <w:rsid w:val="00C942C5"/>
    <w:rsid w:val="00C94FC3"/>
    <w:rsid w:val="00C95D4F"/>
    <w:rsid w:val="00C965F0"/>
    <w:rsid w:val="00C9798F"/>
    <w:rsid w:val="00CA070A"/>
    <w:rsid w:val="00CA0D3A"/>
    <w:rsid w:val="00CA0D73"/>
    <w:rsid w:val="00CA1324"/>
    <w:rsid w:val="00CA1FFF"/>
    <w:rsid w:val="00CA238B"/>
    <w:rsid w:val="00CA2696"/>
    <w:rsid w:val="00CA3C90"/>
    <w:rsid w:val="00CA3F9E"/>
    <w:rsid w:val="00CA4921"/>
    <w:rsid w:val="00CA52CA"/>
    <w:rsid w:val="00CA765D"/>
    <w:rsid w:val="00CB00DC"/>
    <w:rsid w:val="00CB099F"/>
    <w:rsid w:val="00CB0E17"/>
    <w:rsid w:val="00CB1E0A"/>
    <w:rsid w:val="00CB5121"/>
    <w:rsid w:val="00CB53B4"/>
    <w:rsid w:val="00CB663A"/>
    <w:rsid w:val="00CC0240"/>
    <w:rsid w:val="00CC0A49"/>
    <w:rsid w:val="00CC21CC"/>
    <w:rsid w:val="00CC280E"/>
    <w:rsid w:val="00CC284E"/>
    <w:rsid w:val="00CC28D6"/>
    <w:rsid w:val="00CC375B"/>
    <w:rsid w:val="00CC4331"/>
    <w:rsid w:val="00CC4C16"/>
    <w:rsid w:val="00CC60AC"/>
    <w:rsid w:val="00CC694E"/>
    <w:rsid w:val="00CC72D4"/>
    <w:rsid w:val="00CD02BA"/>
    <w:rsid w:val="00CD26C9"/>
    <w:rsid w:val="00CD2829"/>
    <w:rsid w:val="00CD306C"/>
    <w:rsid w:val="00CD34F7"/>
    <w:rsid w:val="00CD3A87"/>
    <w:rsid w:val="00CD44E8"/>
    <w:rsid w:val="00CD4DFD"/>
    <w:rsid w:val="00CD5266"/>
    <w:rsid w:val="00CD602A"/>
    <w:rsid w:val="00CE06B3"/>
    <w:rsid w:val="00CE08E3"/>
    <w:rsid w:val="00CE19AA"/>
    <w:rsid w:val="00CE3573"/>
    <w:rsid w:val="00CE3ADB"/>
    <w:rsid w:val="00CE3C13"/>
    <w:rsid w:val="00CE42E0"/>
    <w:rsid w:val="00CE4A4C"/>
    <w:rsid w:val="00CE4CC4"/>
    <w:rsid w:val="00CE5078"/>
    <w:rsid w:val="00CE6152"/>
    <w:rsid w:val="00CE73C4"/>
    <w:rsid w:val="00CE7593"/>
    <w:rsid w:val="00CF0A3F"/>
    <w:rsid w:val="00CF175A"/>
    <w:rsid w:val="00CF22F0"/>
    <w:rsid w:val="00CF5661"/>
    <w:rsid w:val="00CF5DA8"/>
    <w:rsid w:val="00CF62C7"/>
    <w:rsid w:val="00CF68FF"/>
    <w:rsid w:val="00CF74F1"/>
    <w:rsid w:val="00CF750A"/>
    <w:rsid w:val="00CF7A3C"/>
    <w:rsid w:val="00CF7EF8"/>
    <w:rsid w:val="00D023B5"/>
    <w:rsid w:val="00D03B42"/>
    <w:rsid w:val="00D0461F"/>
    <w:rsid w:val="00D047B2"/>
    <w:rsid w:val="00D04ACD"/>
    <w:rsid w:val="00D06532"/>
    <w:rsid w:val="00D067C1"/>
    <w:rsid w:val="00D06FC8"/>
    <w:rsid w:val="00D0775D"/>
    <w:rsid w:val="00D07C02"/>
    <w:rsid w:val="00D10CDA"/>
    <w:rsid w:val="00D11C50"/>
    <w:rsid w:val="00D11DDD"/>
    <w:rsid w:val="00D13C5C"/>
    <w:rsid w:val="00D15BFB"/>
    <w:rsid w:val="00D15CEB"/>
    <w:rsid w:val="00D15D38"/>
    <w:rsid w:val="00D16692"/>
    <w:rsid w:val="00D16DE0"/>
    <w:rsid w:val="00D200ED"/>
    <w:rsid w:val="00D20E81"/>
    <w:rsid w:val="00D2140C"/>
    <w:rsid w:val="00D21AE3"/>
    <w:rsid w:val="00D21DFE"/>
    <w:rsid w:val="00D248B1"/>
    <w:rsid w:val="00D24E6C"/>
    <w:rsid w:val="00D2685F"/>
    <w:rsid w:val="00D26AE5"/>
    <w:rsid w:val="00D26D7C"/>
    <w:rsid w:val="00D27C8B"/>
    <w:rsid w:val="00D300EF"/>
    <w:rsid w:val="00D30251"/>
    <w:rsid w:val="00D316A4"/>
    <w:rsid w:val="00D3271E"/>
    <w:rsid w:val="00D33134"/>
    <w:rsid w:val="00D36B69"/>
    <w:rsid w:val="00D41AB4"/>
    <w:rsid w:val="00D41D03"/>
    <w:rsid w:val="00D41F51"/>
    <w:rsid w:val="00D43C69"/>
    <w:rsid w:val="00D4601F"/>
    <w:rsid w:val="00D46489"/>
    <w:rsid w:val="00D46801"/>
    <w:rsid w:val="00D46A96"/>
    <w:rsid w:val="00D51DE8"/>
    <w:rsid w:val="00D5214A"/>
    <w:rsid w:val="00D56306"/>
    <w:rsid w:val="00D566F4"/>
    <w:rsid w:val="00D56947"/>
    <w:rsid w:val="00D60D87"/>
    <w:rsid w:val="00D629CA"/>
    <w:rsid w:val="00D63307"/>
    <w:rsid w:val="00D63EF8"/>
    <w:rsid w:val="00D64070"/>
    <w:rsid w:val="00D6436D"/>
    <w:rsid w:val="00D64F0E"/>
    <w:rsid w:val="00D64F59"/>
    <w:rsid w:val="00D655E9"/>
    <w:rsid w:val="00D65C30"/>
    <w:rsid w:val="00D6724A"/>
    <w:rsid w:val="00D678EF"/>
    <w:rsid w:val="00D67AD3"/>
    <w:rsid w:val="00D7061D"/>
    <w:rsid w:val="00D710D0"/>
    <w:rsid w:val="00D72E9D"/>
    <w:rsid w:val="00D73876"/>
    <w:rsid w:val="00D738DD"/>
    <w:rsid w:val="00D75E2A"/>
    <w:rsid w:val="00D762C8"/>
    <w:rsid w:val="00D7655D"/>
    <w:rsid w:val="00D76DC2"/>
    <w:rsid w:val="00D80464"/>
    <w:rsid w:val="00D8154F"/>
    <w:rsid w:val="00D82C24"/>
    <w:rsid w:val="00D831DB"/>
    <w:rsid w:val="00D83660"/>
    <w:rsid w:val="00D83A3E"/>
    <w:rsid w:val="00D83EF4"/>
    <w:rsid w:val="00D847D5"/>
    <w:rsid w:val="00D85CD7"/>
    <w:rsid w:val="00D90B2F"/>
    <w:rsid w:val="00D90C2B"/>
    <w:rsid w:val="00D90DE0"/>
    <w:rsid w:val="00D913E6"/>
    <w:rsid w:val="00D9234E"/>
    <w:rsid w:val="00D92483"/>
    <w:rsid w:val="00D92745"/>
    <w:rsid w:val="00D93174"/>
    <w:rsid w:val="00D93476"/>
    <w:rsid w:val="00D93677"/>
    <w:rsid w:val="00D942A3"/>
    <w:rsid w:val="00D956A4"/>
    <w:rsid w:val="00D968F2"/>
    <w:rsid w:val="00DA11B4"/>
    <w:rsid w:val="00DA1F2F"/>
    <w:rsid w:val="00DA2628"/>
    <w:rsid w:val="00DA2983"/>
    <w:rsid w:val="00DA3CB8"/>
    <w:rsid w:val="00DA550C"/>
    <w:rsid w:val="00DA58B8"/>
    <w:rsid w:val="00DA5D46"/>
    <w:rsid w:val="00DA5DC9"/>
    <w:rsid w:val="00DA6EBA"/>
    <w:rsid w:val="00DB0045"/>
    <w:rsid w:val="00DB0823"/>
    <w:rsid w:val="00DB3B67"/>
    <w:rsid w:val="00DB3F2C"/>
    <w:rsid w:val="00DB52AC"/>
    <w:rsid w:val="00DB5E38"/>
    <w:rsid w:val="00DB6A6B"/>
    <w:rsid w:val="00DB6B02"/>
    <w:rsid w:val="00DB7341"/>
    <w:rsid w:val="00DB7C7E"/>
    <w:rsid w:val="00DB7F5F"/>
    <w:rsid w:val="00DC0F17"/>
    <w:rsid w:val="00DC1158"/>
    <w:rsid w:val="00DC1203"/>
    <w:rsid w:val="00DC18E2"/>
    <w:rsid w:val="00DC1D11"/>
    <w:rsid w:val="00DC3E5F"/>
    <w:rsid w:val="00DC5046"/>
    <w:rsid w:val="00DC697B"/>
    <w:rsid w:val="00DC777C"/>
    <w:rsid w:val="00DC7A07"/>
    <w:rsid w:val="00DC7A95"/>
    <w:rsid w:val="00DD2371"/>
    <w:rsid w:val="00DD41F5"/>
    <w:rsid w:val="00DD5B65"/>
    <w:rsid w:val="00DD5F6B"/>
    <w:rsid w:val="00DD61F2"/>
    <w:rsid w:val="00DD6731"/>
    <w:rsid w:val="00DD676E"/>
    <w:rsid w:val="00DD7784"/>
    <w:rsid w:val="00DD7AFD"/>
    <w:rsid w:val="00DE0088"/>
    <w:rsid w:val="00DE00EA"/>
    <w:rsid w:val="00DE0F16"/>
    <w:rsid w:val="00DE12C9"/>
    <w:rsid w:val="00DE15DD"/>
    <w:rsid w:val="00DE21F8"/>
    <w:rsid w:val="00DE22B5"/>
    <w:rsid w:val="00DE26A2"/>
    <w:rsid w:val="00DE302F"/>
    <w:rsid w:val="00DE3216"/>
    <w:rsid w:val="00DE3537"/>
    <w:rsid w:val="00DE36C7"/>
    <w:rsid w:val="00DE60CD"/>
    <w:rsid w:val="00DE68FF"/>
    <w:rsid w:val="00DE7760"/>
    <w:rsid w:val="00DF178F"/>
    <w:rsid w:val="00DF1A8A"/>
    <w:rsid w:val="00DF202F"/>
    <w:rsid w:val="00DF2805"/>
    <w:rsid w:val="00DF4E5F"/>
    <w:rsid w:val="00DF6ABF"/>
    <w:rsid w:val="00DF6FEC"/>
    <w:rsid w:val="00DF7219"/>
    <w:rsid w:val="00E01505"/>
    <w:rsid w:val="00E02005"/>
    <w:rsid w:val="00E0204F"/>
    <w:rsid w:val="00E02EA7"/>
    <w:rsid w:val="00E0316D"/>
    <w:rsid w:val="00E03A4F"/>
    <w:rsid w:val="00E03E96"/>
    <w:rsid w:val="00E054E1"/>
    <w:rsid w:val="00E05906"/>
    <w:rsid w:val="00E05AAE"/>
    <w:rsid w:val="00E1000F"/>
    <w:rsid w:val="00E102D8"/>
    <w:rsid w:val="00E12681"/>
    <w:rsid w:val="00E13757"/>
    <w:rsid w:val="00E13B55"/>
    <w:rsid w:val="00E13ED3"/>
    <w:rsid w:val="00E15F08"/>
    <w:rsid w:val="00E20272"/>
    <w:rsid w:val="00E206BC"/>
    <w:rsid w:val="00E21A66"/>
    <w:rsid w:val="00E22619"/>
    <w:rsid w:val="00E243D4"/>
    <w:rsid w:val="00E24D13"/>
    <w:rsid w:val="00E25A71"/>
    <w:rsid w:val="00E26371"/>
    <w:rsid w:val="00E27D6D"/>
    <w:rsid w:val="00E3081E"/>
    <w:rsid w:val="00E31306"/>
    <w:rsid w:val="00E31844"/>
    <w:rsid w:val="00E32656"/>
    <w:rsid w:val="00E33F5A"/>
    <w:rsid w:val="00E35C40"/>
    <w:rsid w:val="00E36F60"/>
    <w:rsid w:val="00E36FBE"/>
    <w:rsid w:val="00E373A2"/>
    <w:rsid w:val="00E37E0B"/>
    <w:rsid w:val="00E37E1E"/>
    <w:rsid w:val="00E40CF8"/>
    <w:rsid w:val="00E42858"/>
    <w:rsid w:val="00E42F51"/>
    <w:rsid w:val="00E4504A"/>
    <w:rsid w:val="00E45BE9"/>
    <w:rsid w:val="00E4623B"/>
    <w:rsid w:val="00E46689"/>
    <w:rsid w:val="00E5019A"/>
    <w:rsid w:val="00E50F48"/>
    <w:rsid w:val="00E5139F"/>
    <w:rsid w:val="00E52688"/>
    <w:rsid w:val="00E53D76"/>
    <w:rsid w:val="00E55760"/>
    <w:rsid w:val="00E57AA5"/>
    <w:rsid w:val="00E63583"/>
    <w:rsid w:val="00E636EE"/>
    <w:rsid w:val="00E64779"/>
    <w:rsid w:val="00E64872"/>
    <w:rsid w:val="00E64CBD"/>
    <w:rsid w:val="00E64FB4"/>
    <w:rsid w:val="00E6537D"/>
    <w:rsid w:val="00E6645F"/>
    <w:rsid w:val="00E66C7C"/>
    <w:rsid w:val="00E67359"/>
    <w:rsid w:val="00E67A7D"/>
    <w:rsid w:val="00E71232"/>
    <w:rsid w:val="00E71800"/>
    <w:rsid w:val="00E71A6B"/>
    <w:rsid w:val="00E71DA7"/>
    <w:rsid w:val="00E73560"/>
    <w:rsid w:val="00E73E3F"/>
    <w:rsid w:val="00E76472"/>
    <w:rsid w:val="00E76906"/>
    <w:rsid w:val="00E76FF3"/>
    <w:rsid w:val="00E770D2"/>
    <w:rsid w:val="00E776F7"/>
    <w:rsid w:val="00E80415"/>
    <w:rsid w:val="00E80876"/>
    <w:rsid w:val="00E8279C"/>
    <w:rsid w:val="00E82E93"/>
    <w:rsid w:val="00E83A0C"/>
    <w:rsid w:val="00E858B1"/>
    <w:rsid w:val="00E86105"/>
    <w:rsid w:val="00E86249"/>
    <w:rsid w:val="00E86530"/>
    <w:rsid w:val="00E86A43"/>
    <w:rsid w:val="00E86FD1"/>
    <w:rsid w:val="00E878E9"/>
    <w:rsid w:val="00E900D2"/>
    <w:rsid w:val="00E902B6"/>
    <w:rsid w:val="00E9033E"/>
    <w:rsid w:val="00E90ACC"/>
    <w:rsid w:val="00E9262B"/>
    <w:rsid w:val="00E934C1"/>
    <w:rsid w:val="00E9376D"/>
    <w:rsid w:val="00E93E22"/>
    <w:rsid w:val="00E9566F"/>
    <w:rsid w:val="00E96086"/>
    <w:rsid w:val="00E96B37"/>
    <w:rsid w:val="00E96DCD"/>
    <w:rsid w:val="00EA062C"/>
    <w:rsid w:val="00EA0FC5"/>
    <w:rsid w:val="00EA301F"/>
    <w:rsid w:val="00EA325A"/>
    <w:rsid w:val="00EA3640"/>
    <w:rsid w:val="00EA4302"/>
    <w:rsid w:val="00EA4D0E"/>
    <w:rsid w:val="00EA5249"/>
    <w:rsid w:val="00EA686E"/>
    <w:rsid w:val="00EA78F1"/>
    <w:rsid w:val="00EA7F4B"/>
    <w:rsid w:val="00EB0E8D"/>
    <w:rsid w:val="00EB2517"/>
    <w:rsid w:val="00EB3F0E"/>
    <w:rsid w:val="00EB46AA"/>
    <w:rsid w:val="00EB5C8F"/>
    <w:rsid w:val="00EB698B"/>
    <w:rsid w:val="00EB7BF5"/>
    <w:rsid w:val="00EC04BB"/>
    <w:rsid w:val="00EC0FBE"/>
    <w:rsid w:val="00EC25C0"/>
    <w:rsid w:val="00EC4918"/>
    <w:rsid w:val="00EC4D79"/>
    <w:rsid w:val="00EC6435"/>
    <w:rsid w:val="00EC70AF"/>
    <w:rsid w:val="00ED0AA6"/>
    <w:rsid w:val="00ED363E"/>
    <w:rsid w:val="00ED3B63"/>
    <w:rsid w:val="00ED4805"/>
    <w:rsid w:val="00ED49D9"/>
    <w:rsid w:val="00ED59EC"/>
    <w:rsid w:val="00ED6C75"/>
    <w:rsid w:val="00ED74D5"/>
    <w:rsid w:val="00ED7884"/>
    <w:rsid w:val="00ED7CA6"/>
    <w:rsid w:val="00EE16DF"/>
    <w:rsid w:val="00EE338C"/>
    <w:rsid w:val="00EE4072"/>
    <w:rsid w:val="00EE41F3"/>
    <w:rsid w:val="00EE487F"/>
    <w:rsid w:val="00EE4A5B"/>
    <w:rsid w:val="00EE4B21"/>
    <w:rsid w:val="00EE5396"/>
    <w:rsid w:val="00EE5584"/>
    <w:rsid w:val="00EE5EFF"/>
    <w:rsid w:val="00EE715C"/>
    <w:rsid w:val="00EE7D36"/>
    <w:rsid w:val="00EF130B"/>
    <w:rsid w:val="00EF2839"/>
    <w:rsid w:val="00EF41A5"/>
    <w:rsid w:val="00EF47A4"/>
    <w:rsid w:val="00EF497E"/>
    <w:rsid w:val="00EF49D2"/>
    <w:rsid w:val="00EF553E"/>
    <w:rsid w:val="00F00FC6"/>
    <w:rsid w:val="00F01600"/>
    <w:rsid w:val="00F01E6F"/>
    <w:rsid w:val="00F01FC4"/>
    <w:rsid w:val="00F02269"/>
    <w:rsid w:val="00F02A47"/>
    <w:rsid w:val="00F02A8D"/>
    <w:rsid w:val="00F052F2"/>
    <w:rsid w:val="00F059CD"/>
    <w:rsid w:val="00F065E5"/>
    <w:rsid w:val="00F065E7"/>
    <w:rsid w:val="00F06D26"/>
    <w:rsid w:val="00F07EE5"/>
    <w:rsid w:val="00F10863"/>
    <w:rsid w:val="00F10EBC"/>
    <w:rsid w:val="00F131E4"/>
    <w:rsid w:val="00F132D0"/>
    <w:rsid w:val="00F13C6E"/>
    <w:rsid w:val="00F14806"/>
    <w:rsid w:val="00F1499D"/>
    <w:rsid w:val="00F15A31"/>
    <w:rsid w:val="00F17826"/>
    <w:rsid w:val="00F20951"/>
    <w:rsid w:val="00F209BC"/>
    <w:rsid w:val="00F20DA3"/>
    <w:rsid w:val="00F228C8"/>
    <w:rsid w:val="00F22A4B"/>
    <w:rsid w:val="00F22AE6"/>
    <w:rsid w:val="00F22BD5"/>
    <w:rsid w:val="00F2304E"/>
    <w:rsid w:val="00F236E2"/>
    <w:rsid w:val="00F23AEC"/>
    <w:rsid w:val="00F23F47"/>
    <w:rsid w:val="00F245E7"/>
    <w:rsid w:val="00F24EA8"/>
    <w:rsid w:val="00F259C9"/>
    <w:rsid w:val="00F259DC"/>
    <w:rsid w:val="00F265A0"/>
    <w:rsid w:val="00F26820"/>
    <w:rsid w:val="00F26875"/>
    <w:rsid w:val="00F3075C"/>
    <w:rsid w:val="00F33002"/>
    <w:rsid w:val="00F337ED"/>
    <w:rsid w:val="00F3439A"/>
    <w:rsid w:val="00F34F21"/>
    <w:rsid w:val="00F36C96"/>
    <w:rsid w:val="00F37D61"/>
    <w:rsid w:val="00F40732"/>
    <w:rsid w:val="00F41529"/>
    <w:rsid w:val="00F41547"/>
    <w:rsid w:val="00F416F8"/>
    <w:rsid w:val="00F41FD5"/>
    <w:rsid w:val="00F45B10"/>
    <w:rsid w:val="00F5048B"/>
    <w:rsid w:val="00F505D4"/>
    <w:rsid w:val="00F509FE"/>
    <w:rsid w:val="00F516B7"/>
    <w:rsid w:val="00F517DA"/>
    <w:rsid w:val="00F51830"/>
    <w:rsid w:val="00F524BB"/>
    <w:rsid w:val="00F52D88"/>
    <w:rsid w:val="00F53D64"/>
    <w:rsid w:val="00F54B12"/>
    <w:rsid w:val="00F56681"/>
    <w:rsid w:val="00F578C5"/>
    <w:rsid w:val="00F602B3"/>
    <w:rsid w:val="00F60544"/>
    <w:rsid w:val="00F608DC"/>
    <w:rsid w:val="00F634D8"/>
    <w:rsid w:val="00F638B1"/>
    <w:rsid w:val="00F64AC4"/>
    <w:rsid w:val="00F66955"/>
    <w:rsid w:val="00F72FA1"/>
    <w:rsid w:val="00F7479D"/>
    <w:rsid w:val="00F75A57"/>
    <w:rsid w:val="00F75DB9"/>
    <w:rsid w:val="00F76B69"/>
    <w:rsid w:val="00F773EF"/>
    <w:rsid w:val="00F77A82"/>
    <w:rsid w:val="00F77FD4"/>
    <w:rsid w:val="00F81FA2"/>
    <w:rsid w:val="00F82D16"/>
    <w:rsid w:val="00F83F98"/>
    <w:rsid w:val="00F85C1B"/>
    <w:rsid w:val="00F8640B"/>
    <w:rsid w:val="00F86931"/>
    <w:rsid w:val="00F87560"/>
    <w:rsid w:val="00F875B9"/>
    <w:rsid w:val="00F90F9F"/>
    <w:rsid w:val="00F925CD"/>
    <w:rsid w:val="00F94337"/>
    <w:rsid w:val="00F945D1"/>
    <w:rsid w:val="00F97E46"/>
    <w:rsid w:val="00FA0A11"/>
    <w:rsid w:val="00FA0D3E"/>
    <w:rsid w:val="00FA14C6"/>
    <w:rsid w:val="00FA2791"/>
    <w:rsid w:val="00FA2CDF"/>
    <w:rsid w:val="00FA3FD9"/>
    <w:rsid w:val="00FA4720"/>
    <w:rsid w:val="00FA6798"/>
    <w:rsid w:val="00FA67DB"/>
    <w:rsid w:val="00FA7465"/>
    <w:rsid w:val="00FB1481"/>
    <w:rsid w:val="00FB1C39"/>
    <w:rsid w:val="00FB21B9"/>
    <w:rsid w:val="00FB265C"/>
    <w:rsid w:val="00FB290A"/>
    <w:rsid w:val="00FB2937"/>
    <w:rsid w:val="00FB30CE"/>
    <w:rsid w:val="00FB5548"/>
    <w:rsid w:val="00FB5640"/>
    <w:rsid w:val="00FB5C0C"/>
    <w:rsid w:val="00FB6221"/>
    <w:rsid w:val="00FB75BC"/>
    <w:rsid w:val="00FB7E20"/>
    <w:rsid w:val="00FC009B"/>
    <w:rsid w:val="00FC0CC4"/>
    <w:rsid w:val="00FC1AAF"/>
    <w:rsid w:val="00FC24D6"/>
    <w:rsid w:val="00FC328E"/>
    <w:rsid w:val="00FC3A2A"/>
    <w:rsid w:val="00FC3B70"/>
    <w:rsid w:val="00FC3C13"/>
    <w:rsid w:val="00FC4189"/>
    <w:rsid w:val="00FC418A"/>
    <w:rsid w:val="00FC5130"/>
    <w:rsid w:val="00FC527E"/>
    <w:rsid w:val="00FC5BF9"/>
    <w:rsid w:val="00FC6845"/>
    <w:rsid w:val="00FC733F"/>
    <w:rsid w:val="00FC7393"/>
    <w:rsid w:val="00FC7D49"/>
    <w:rsid w:val="00FD086C"/>
    <w:rsid w:val="00FD0D2B"/>
    <w:rsid w:val="00FD3C26"/>
    <w:rsid w:val="00FD489A"/>
    <w:rsid w:val="00FD5249"/>
    <w:rsid w:val="00FD5B58"/>
    <w:rsid w:val="00FD74B5"/>
    <w:rsid w:val="00FD751F"/>
    <w:rsid w:val="00FD7D85"/>
    <w:rsid w:val="00FE084E"/>
    <w:rsid w:val="00FE106D"/>
    <w:rsid w:val="00FE1E25"/>
    <w:rsid w:val="00FE2F7D"/>
    <w:rsid w:val="00FE301F"/>
    <w:rsid w:val="00FE31D4"/>
    <w:rsid w:val="00FE34C1"/>
    <w:rsid w:val="00FE3E2F"/>
    <w:rsid w:val="00FE4471"/>
    <w:rsid w:val="00FE57DD"/>
    <w:rsid w:val="00FE654F"/>
    <w:rsid w:val="00FF07FB"/>
    <w:rsid w:val="00FF083E"/>
    <w:rsid w:val="00FF085B"/>
    <w:rsid w:val="00FF0F86"/>
    <w:rsid w:val="00FF16D7"/>
    <w:rsid w:val="00FF2E67"/>
    <w:rsid w:val="00FF72CD"/>
    <w:rsid w:val="00FF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0BAAD60"/>
  <w15:docId w15:val="{E38F2735-6E47-4681-95B5-6D04651A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E9"/>
    <w:pPr>
      <w:spacing w:before="120" w:after="120" w:line="36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292"/>
    <w:pPr>
      <w:tabs>
        <w:tab w:val="right" w:pos="9638"/>
      </w:tabs>
    </w:pPr>
  </w:style>
  <w:style w:type="character" w:customStyle="1" w:styleId="HeaderChar">
    <w:name w:val="Header Char"/>
    <w:basedOn w:val="DefaultParagraphFont"/>
    <w:link w:val="Header"/>
    <w:uiPriority w:val="99"/>
    <w:rsid w:val="003E2292"/>
    <w:rPr>
      <w:rFonts w:ascii="Times New Roman" w:hAnsi="Times New Roman" w:cs="Times New Roman"/>
      <w:sz w:val="24"/>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single space"/>
    <w:basedOn w:val="Normal"/>
    <w:link w:val="FootnoteTextChar"/>
    <w:uiPriority w:val="99"/>
    <w:unhideWhenUsed/>
    <w:qFormat/>
    <w:rsid w:val="003E2292"/>
    <w:pPr>
      <w:spacing w:before="0" w:after="0" w:line="240" w:lineRule="auto"/>
      <w:ind w:left="720" w:hanging="720"/>
    </w:pPr>
    <w:rPr>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3E2292"/>
    <w:rPr>
      <w:rFonts w:ascii="Times New Roman" w:hAnsi="Times New Roman" w:cs="Times New Roman"/>
      <w:sz w:val="24"/>
      <w:szCs w:val="20"/>
    </w:rPr>
  </w:style>
  <w:style w:type="paragraph" w:customStyle="1" w:styleId="NormalCentered">
    <w:name w:val="Normal Centered"/>
    <w:basedOn w:val="Normal"/>
    <w:rsid w:val="003E2292"/>
    <w:pPr>
      <w:spacing w:before="200"/>
      <w:jc w:val="center"/>
    </w:pPr>
  </w:style>
  <w:style w:type="paragraph" w:customStyle="1" w:styleId="NormalRight">
    <w:name w:val="Normal Right"/>
    <w:basedOn w:val="Normal"/>
    <w:rsid w:val="003E2292"/>
    <w:pPr>
      <w:spacing w:before="200"/>
      <w:jc w:val="right"/>
    </w:p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SUPERSChar"/>
    <w:uiPriority w:val="99"/>
    <w:unhideWhenUsed/>
    <w:qFormat/>
    <w:rsid w:val="003E2292"/>
    <w:rPr>
      <w:b/>
      <w:shd w:val="clear" w:color="auto" w:fill="auto"/>
      <w:vertAlign w:val="superscript"/>
    </w:rPr>
  </w:style>
  <w:style w:type="paragraph" w:customStyle="1" w:styleId="FooterCouncil">
    <w:name w:val="Footer Council"/>
    <w:basedOn w:val="Normal"/>
    <w:link w:val="FooterCouncilChar"/>
    <w:rsid w:val="003E2292"/>
    <w:pPr>
      <w:spacing w:before="0" w:after="0" w:line="240" w:lineRule="auto"/>
    </w:pPr>
    <w:rPr>
      <w:sz w:val="2"/>
    </w:rPr>
  </w:style>
  <w:style w:type="paragraph" w:customStyle="1" w:styleId="FooterText">
    <w:name w:val="Footer Text"/>
    <w:basedOn w:val="Normal"/>
    <w:rsid w:val="003E2292"/>
    <w:pPr>
      <w:spacing w:before="0" w:after="0" w:line="240" w:lineRule="auto"/>
    </w:pPr>
    <w:rPr>
      <w:rFonts w:eastAsia="Times New Roman"/>
      <w:szCs w:val="24"/>
    </w:rPr>
  </w:style>
  <w:style w:type="paragraph" w:customStyle="1" w:styleId="Point0">
    <w:name w:val="Point 0"/>
    <w:basedOn w:val="Normal"/>
    <w:rsid w:val="003E2292"/>
    <w:pPr>
      <w:ind w:left="850" w:hanging="850"/>
    </w:pPr>
  </w:style>
  <w:style w:type="table" w:styleId="TableGrid">
    <w:name w:val="Table Grid"/>
    <w:basedOn w:val="TableNormal"/>
    <w:uiPriority w:val="59"/>
    <w:rsid w:val="003E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ouncilChar">
    <w:name w:val="Footer Council Char"/>
    <w:link w:val="FooterCouncil"/>
    <w:rsid w:val="003E2292"/>
    <w:rPr>
      <w:rFonts w:ascii="Times New Roman" w:hAnsi="Times New Roman" w:cs="Times New Roman"/>
      <w:sz w:val="2"/>
    </w:rPr>
  </w:style>
  <w:style w:type="paragraph" w:styleId="Footer">
    <w:name w:val="footer"/>
    <w:basedOn w:val="Normal"/>
    <w:link w:val="FooterChar"/>
    <w:uiPriority w:val="99"/>
    <w:unhideWhenUsed/>
    <w:rsid w:val="00A865A1"/>
    <w:pPr>
      <w:tabs>
        <w:tab w:val="center" w:pos="4819"/>
        <w:tab w:val="right" w:pos="9638"/>
      </w:tabs>
      <w:spacing w:before="0" w:after="0" w:line="240" w:lineRule="auto"/>
    </w:pPr>
  </w:style>
  <w:style w:type="character" w:customStyle="1" w:styleId="FooterChar">
    <w:name w:val="Footer Char"/>
    <w:basedOn w:val="DefaultParagraphFont"/>
    <w:link w:val="Footer"/>
    <w:uiPriority w:val="99"/>
    <w:rsid w:val="00A865A1"/>
    <w:rPr>
      <w:rFonts w:ascii="Times New Roman" w:hAnsi="Times New Roman" w:cs="Times New Roman"/>
      <w:sz w:val="24"/>
    </w:rPr>
  </w:style>
  <w:style w:type="character" w:styleId="CommentReference">
    <w:name w:val="annotation reference"/>
    <w:basedOn w:val="DefaultParagraphFont"/>
    <w:uiPriority w:val="99"/>
    <w:semiHidden/>
    <w:unhideWhenUsed/>
    <w:rsid w:val="006B5BA9"/>
    <w:rPr>
      <w:sz w:val="16"/>
      <w:szCs w:val="16"/>
    </w:rPr>
  </w:style>
  <w:style w:type="paragraph" w:styleId="CommentText">
    <w:name w:val="annotation text"/>
    <w:basedOn w:val="Normal"/>
    <w:link w:val="CommentTextChar"/>
    <w:uiPriority w:val="99"/>
    <w:unhideWhenUsed/>
    <w:rsid w:val="006B5BA9"/>
    <w:pPr>
      <w:spacing w:line="240" w:lineRule="auto"/>
    </w:pPr>
    <w:rPr>
      <w:sz w:val="20"/>
      <w:szCs w:val="20"/>
    </w:rPr>
  </w:style>
  <w:style w:type="character" w:customStyle="1" w:styleId="CommentTextChar">
    <w:name w:val="Comment Text Char"/>
    <w:basedOn w:val="DefaultParagraphFont"/>
    <w:link w:val="CommentText"/>
    <w:uiPriority w:val="99"/>
    <w:rsid w:val="006B5B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5BA9"/>
    <w:rPr>
      <w:b/>
      <w:bCs/>
    </w:rPr>
  </w:style>
  <w:style w:type="character" w:customStyle="1" w:styleId="CommentSubjectChar">
    <w:name w:val="Comment Subject Char"/>
    <w:basedOn w:val="CommentTextChar"/>
    <w:link w:val="CommentSubject"/>
    <w:uiPriority w:val="99"/>
    <w:semiHidden/>
    <w:rsid w:val="006B5BA9"/>
    <w:rPr>
      <w:rFonts w:ascii="Times New Roman" w:hAnsi="Times New Roman" w:cs="Times New Roman"/>
      <w:b/>
      <w:bCs/>
      <w:sz w:val="20"/>
      <w:szCs w:val="20"/>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7878F4"/>
    <w:pPr>
      <w:ind w:left="720"/>
      <w:contextualSpacing/>
    </w:pPr>
  </w:style>
  <w:style w:type="paragraph" w:customStyle="1" w:styleId="oj-normal">
    <w:name w:val="oj-normal"/>
    <w:basedOn w:val="Normal"/>
    <w:rsid w:val="001247EA"/>
    <w:pPr>
      <w:spacing w:after="0" w:line="240" w:lineRule="auto"/>
      <w:jc w:val="both"/>
    </w:pPr>
    <w:rPr>
      <w:rFonts w:eastAsia="Times New Roman"/>
      <w:szCs w:val="24"/>
      <w:lang w:eastAsia="lt-LT"/>
    </w:rPr>
  </w:style>
  <w:style w:type="paragraph" w:customStyle="1" w:styleId="title-gr-seq-level-3">
    <w:name w:val="title-gr-seq-level-3"/>
    <w:basedOn w:val="Normal"/>
    <w:rsid w:val="004A0103"/>
    <w:pPr>
      <w:spacing w:before="100" w:beforeAutospacing="1" w:after="100" w:afterAutospacing="1" w:line="240" w:lineRule="auto"/>
    </w:pPr>
    <w:rPr>
      <w:rFonts w:eastAsia="Times New Roman"/>
      <w:szCs w:val="24"/>
      <w:lang w:eastAsia="lt-LT"/>
    </w:rPr>
  </w:style>
  <w:style w:type="character" w:customStyle="1" w:styleId="boldface">
    <w:name w:val="boldface"/>
    <w:basedOn w:val="DefaultParagraphFont"/>
    <w:rsid w:val="004A0103"/>
  </w:style>
  <w:style w:type="paragraph" w:customStyle="1" w:styleId="modref">
    <w:name w:val="modref"/>
    <w:basedOn w:val="Normal"/>
    <w:rsid w:val="004A0103"/>
    <w:pPr>
      <w:spacing w:before="100" w:beforeAutospacing="1" w:after="100" w:afterAutospacing="1" w:line="240" w:lineRule="auto"/>
    </w:pPr>
    <w:rPr>
      <w:rFonts w:eastAsia="Times New Roman"/>
      <w:szCs w:val="24"/>
      <w:lang w:eastAsia="lt-LT"/>
    </w:rPr>
  </w:style>
  <w:style w:type="character" w:styleId="Hyperlink">
    <w:name w:val="Hyperlink"/>
    <w:basedOn w:val="DefaultParagraphFont"/>
    <w:uiPriority w:val="99"/>
    <w:unhideWhenUsed/>
    <w:rsid w:val="004A0103"/>
    <w:rPr>
      <w:color w:val="0000FF"/>
      <w:u w:val="single"/>
    </w:rPr>
  </w:style>
  <w:style w:type="paragraph" w:customStyle="1" w:styleId="norm">
    <w:name w:val="norm"/>
    <w:basedOn w:val="Normal"/>
    <w:rsid w:val="004A0103"/>
    <w:pPr>
      <w:spacing w:before="100" w:beforeAutospacing="1" w:after="100" w:afterAutospacing="1" w:line="240" w:lineRule="auto"/>
    </w:pPr>
    <w:rPr>
      <w:rFonts w:eastAsia="Times New Roman"/>
      <w:szCs w:val="24"/>
      <w:lang w:eastAsia="lt-LT"/>
    </w:rPr>
  </w:style>
  <w:style w:type="paragraph" w:customStyle="1" w:styleId="List1">
    <w:name w:val="List1"/>
    <w:basedOn w:val="Normal"/>
    <w:rsid w:val="004A0103"/>
    <w:pPr>
      <w:spacing w:before="100" w:beforeAutospacing="1" w:after="100" w:afterAutospacing="1" w:line="240" w:lineRule="auto"/>
    </w:pPr>
    <w:rPr>
      <w:rFonts w:eastAsia="Times New Roman"/>
      <w:szCs w:val="24"/>
      <w:lang w:eastAsia="lt-LT"/>
    </w:rPr>
  </w:style>
  <w:style w:type="paragraph" w:styleId="Revision">
    <w:name w:val="Revision"/>
    <w:hidden/>
    <w:uiPriority w:val="99"/>
    <w:semiHidden/>
    <w:rsid w:val="00370D5A"/>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5057CF"/>
    <w:rPr>
      <w:color w:val="605E5C"/>
      <w:shd w:val="clear" w:color="auto" w:fill="E1DFDD"/>
    </w:rPr>
  </w:style>
  <w:style w:type="character" w:styleId="FollowedHyperlink">
    <w:name w:val="FollowedHyperlink"/>
    <w:basedOn w:val="DefaultParagraphFont"/>
    <w:uiPriority w:val="99"/>
    <w:semiHidden/>
    <w:unhideWhenUsed/>
    <w:rsid w:val="00E71DA7"/>
    <w:rPr>
      <w:color w:val="954F72" w:themeColor="followedHyperlink"/>
      <w:u w:val="single"/>
    </w:rPr>
  </w:style>
  <w:style w:type="paragraph" w:styleId="BalloonText">
    <w:name w:val="Balloon Text"/>
    <w:basedOn w:val="Normal"/>
    <w:link w:val="BalloonTextChar"/>
    <w:uiPriority w:val="99"/>
    <w:semiHidden/>
    <w:unhideWhenUsed/>
    <w:rsid w:val="0049370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70D"/>
    <w:rPr>
      <w:rFonts w:ascii="Tahoma" w:hAnsi="Tahoma" w:cs="Tahoma"/>
      <w:sz w:val="16"/>
      <w:szCs w:val="16"/>
    </w:rPr>
  </w:style>
  <w:style w:type="paragraph" w:customStyle="1" w:styleId="Default">
    <w:name w:val="Default"/>
    <w:rsid w:val="00EE7D36"/>
    <w:pPr>
      <w:autoSpaceDE w:val="0"/>
      <w:autoSpaceDN w:val="0"/>
      <w:adjustRightInd w:val="0"/>
      <w:spacing w:after="0" w:line="240" w:lineRule="auto"/>
    </w:pPr>
    <w:rPr>
      <w:rFonts w:ascii="Calibri" w:hAnsi="Calibri" w:cs="Calibri"/>
      <w:color w:val="000000"/>
      <w:sz w:val="24"/>
      <w:szCs w:val="24"/>
    </w:rPr>
  </w:style>
  <w:style w:type="paragraph" w:customStyle="1" w:styleId="SUPERSChar">
    <w:name w:val="SUPERS Char"/>
    <w:aliases w:val="EN Footnote Reference Char"/>
    <w:basedOn w:val="Normal"/>
    <w:link w:val="FootnoteReference"/>
    <w:uiPriority w:val="99"/>
    <w:rsid w:val="00174E86"/>
    <w:pPr>
      <w:spacing w:before="0" w:after="160" w:line="240" w:lineRule="exact"/>
    </w:pPr>
    <w:rPr>
      <w:rFonts w:asciiTheme="minorHAnsi" w:hAnsiTheme="minorHAnsi" w:cstheme="minorBidi"/>
      <w:b/>
      <w:sz w:val="22"/>
      <w:vertAlign w:val="superscript"/>
    </w:rPr>
  </w:style>
  <w:style w:type="character" w:customStyle="1" w:styleId="UnresolvedMention2">
    <w:name w:val="Unresolved Mention2"/>
    <w:basedOn w:val="DefaultParagraphFont"/>
    <w:uiPriority w:val="99"/>
    <w:semiHidden/>
    <w:unhideWhenUsed/>
    <w:rsid w:val="00B023CB"/>
    <w:rPr>
      <w:color w:val="605E5C"/>
      <w:shd w:val="clear" w:color="auto" w:fill="E1DFDD"/>
    </w:rPr>
  </w:style>
  <w:style w:type="paragraph" w:customStyle="1" w:styleId="08Pavadinimastitulis">
    <w:name w:val="08_Pavadinimas_titulis"/>
    <w:basedOn w:val="Normal"/>
    <w:qFormat/>
    <w:rsid w:val="00C26DCA"/>
    <w:pPr>
      <w:spacing w:before="0" w:after="0" w:line="240" w:lineRule="auto"/>
      <w:jc w:val="center"/>
    </w:pPr>
    <w:rPr>
      <w:rFonts w:asciiTheme="minorHAnsi" w:hAnsiTheme="minorHAnsi"/>
      <w:b/>
      <w:color w:val="00C1C9"/>
      <w:spacing w:val="33"/>
      <w:kern w:val="10"/>
      <w:sz w:val="48"/>
      <w:szCs w:val="44"/>
      <w:lang w:val="en-GB" w:eastAsia="en-GB"/>
    </w:rPr>
  </w:style>
  <w:style w:type="paragraph" w:customStyle="1" w:styleId="03">
    <w:name w:val="03"/>
    <w:qFormat/>
    <w:rsid w:val="00C26DCA"/>
    <w:pPr>
      <w:spacing w:after="0" w:line="240" w:lineRule="auto"/>
      <w:jc w:val="center"/>
    </w:pPr>
    <w:rPr>
      <w:rFonts w:cs="Times New Roman"/>
      <w:b/>
      <w:color w:val="00C1C9"/>
      <w:spacing w:val="33"/>
      <w:kern w:val="10"/>
      <w:sz w:val="36"/>
      <w:szCs w:val="36"/>
      <w:lang w:val="en-GB" w:eastAsia="en-GB"/>
    </w:rPr>
  </w:style>
  <w:style w:type="character" w:customStyle="1" w:styleId="y2iqfc">
    <w:name w:val="y2iqfc"/>
    <w:basedOn w:val="DefaultParagraphFont"/>
    <w:rsid w:val="00193A7E"/>
  </w:style>
  <w:style w:type="character" w:styleId="PlaceholderText">
    <w:name w:val="Placeholder Text"/>
    <w:basedOn w:val="DefaultParagraphFont"/>
    <w:uiPriority w:val="99"/>
    <w:semiHidden/>
    <w:rsid w:val="007E080F"/>
    <w:rPr>
      <w:color w:val="808080"/>
    </w:rPr>
  </w:style>
  <w:style w:type="character" w:customStyle="1" w:styleId="UnresolvedMention3">
    <w:name w:val="Unresolved Mention3"/>
    <w:basedOn w:val="DefaultParagraphFont"/>
    <w:uiPriority w:val="99"/>
    <w:semiHidden/>
    <w:unhideWhenUsed/>
    <w:rsid w:val="002F319A"/>
    <w:rPr>
      <w:color w:val="605E5C"/>
      <w:shd w:val="clear" w:color="auto" w:fill="E1DFDD"/>
    </w:rPr>
  </w:style>
  <w:style w:type="character" w:customStyle="1" w:styleId="UnresolvedMention4">
    <w:name w:val="Unresolved Mention4"/>
    <w:basedOn w:val="DefaultParagraphFont"/>
    <w:uiPriority w:val="99"/>
    <w:semiHidden/>
    <w:unhideWhenUsed/>
    <w:rsid w:val="00FC6845"/>
    <w:rPr>
      <w:color w:val="605E5C"/>
      <w:shd w:val="clear" w:color="auto" w:fill="E1DFDD"/>
    </w:rPr>
  </w:style>
  <w:style w:type="paragraph" w:customStyle="1" w:styleId="NoSpacing1">
    <w:name w:val="No Spacing1"/>
    <w:uiPriority w:val="99"/>
    <w:qFormat/>
    <w:rsid w:val="00507D81"/>
    <w:pPr>
      <w:spacing w:after="0" w:line="240" w:lineRule="auto"/>
    </w:pPr>
    <w:rPr>
      <w:rFonts w:ascii="Calibri" w:eastAsia="Calibri" w:hAnsi="Calibri" w:cs="Calibri"/>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DC0F17"/>
    <w:rPr>
      <w:rFonts w:ascii="Times New Roman" w:hAnsi="Times New Roman" w:cs="Times New Roman"/>
      <w:sz w:val="24"/>
    </w:rPr>
  </w:style>
  <w:style w:type="character" w:styleId="UnresolvedMention">
    <w:name w:val="Unresolved Mention"/>
    <w:basedOn w:val="DefaultParagraphFont"/>
    <w:uiPriority w:val="99"/>
    <w:semiHidden/>
    <w:unhideWhenUsed/>
    <w:rsid w:val="0020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294">
      <w:bodyDiv w:val="1"/>
      <w:marLeft w:val="390"/>
      <w:marRight w:val="390"/>
      <w:marTop w:val="0"/>
      <w:marBottom w:val="0"/>
      <w:divBdr>
        <w:top w:val="none" w:sz="0" w:space="0" w:color="auto"/>
        <w:left w:val="none" w:sz="0" w:space="0" w:color="auto"/>
        <w:bottom w:val="none" w:sz="0" w:space="0" w:color="auto"/>
        <w:right w:val="none" w:sz="0" w:space="0" w:color="auto"/>
      </w:divBdr>
      <w:divsChild>
        <w:div w:id="550968969">
          <w:marLeft w:val="0"/>
          <w:marRight w:val="0"/>
          <w:marTop w:val="0"/>
          <w:marBottom w:val="0"/>
          <w:divBdr>
            <w:top w:val="none" w:sz="0" w:space="0" w:color="auto"/>
            <w:left w:val="none" w:sz="0" w:space="0" w:color="auto"/>
            <w:bottom w:val="none" w:sz="0" w:space="0" w:color="auto"/>
            <w:right w:val="none" w:sz="0" w:space="0" w:color="auto"/>
          </w:divBdr>
          <w:divsChild>
            <w:div w:id="639387954">
              <w:marLeft w:val="0"/>
              <w:marRight w:val="0"/>
              <w:marTop w:val="0"/>
              <w:marBottom w:val="0"/>
              <w:divBdr>
                <w:top w:val="none" w:sz="0" w:space="0" w:color="auto"/>
                <w:left w:val="none" w:sz="0" w:space="0" w:color="auto"/>
                <w:bottom w:val="none" w:sz="0" w:space="0" w:color="auto"/>
                <w:right w:val="none" w:sz="0" w:space="0" w:color="auto"/>
              </w:divBdr>
              <w:divsChild>
                <w:div w:id="644092964">
                  <w:marLeft w:val="-150"/>
                  <w:marRight w:val="-150"/>
                  <w:marTop w:val="0"/>
                  <w:marBottom w:val="0"/>
                  <w:divBdr>
                    <w:top w:val="none" w:sz="0" w:space="0" w:color="auto"/>
                    <w:left w:val="none" w:sz="0" w:space="0" w:color="auto"/>
                    <w:bottom w:val="none" w:sz="0" w:space="0" w:color="auto"/>
                    <w:right w:val="none" w:sz="0" w:space="0" w:color="auto"/>
                  </w:divBdr>
                  <w:divsChild>
                    <w:div w:id="1858616408">
                      <w:marLeft w:val="0"/>
                      <w:marRight w:val="0"/>
                      <w:marTop w:val="0"/>
                      <w:marBottom w:val="0"/>
                      <w:divBdr>
                        <w:top w:val="none" w:sz="0" w:space="0" w:color="auto"/>
                        <w:left w:val="none" w:sz="0" w:space="0" w:color="auto"/>
                        <w:bottom w:val="none" w:sz="0" w:space="0" w:color="auto"/>
                        <w:right w:val="none" w:sz="0" w:space="0" w:color="auto"/>
                      </w:divBdr>
                      <w:divsChild>
                        <w:div w:id="1128009949">
                          <w:marLeft w:val="0"/>
                          <w:marRight w:val="0"/>
                          <w:marTop w:val="0"/>
                          <w:marBottom w:val="0"/>
                          <w:divBdr>
                            <w:top w:val="none" w:sz="0" w:space="0" w:color="auto"/>
                            <w:left w:val="none" w:sz="0" w:space="0" w:color="auto"/>
                            <w:bottom w:val="none" w:sz="0" w:space="0" w:color="auto"/>
                            <w:right w:val="none" w:sz="0" w:space="0" w:color="auto"/>
                          </w:divBdr>
                          <w:divsChild>
                            <w:div w:id="1820001155">
                              <w:marLeft w:val="0"/>
                              <w:marRight w:val="0"/>
                              <w:marTop w:val="0"/>
                              <w:marBottom w:val="0"/>
                              <w:divBdr>
                                <w:top w:val="none" w:sz="0" w:space="0" w:color="auto"/>
                                <w:left w:val="none" w:sz="0" w:space="0" w:color="auto"/>
                                <w:bottom w:val="none" w:sz="0" w:space="0" w:color="auto"/>
                                <w:right w:val="none" w:sz="0" w:space="0" w:color="auto"/>
                              </w:divBdr>
                              <w:divsChild>
                                <w:div w:id="18890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6873">
      <w:bodyDiv w:val="1"/>
      <w:marLeft w:val="0"/>
      <w:marRight w:val="0"/>
      <w:marTop w:val="0"/>
      <w:marBottom w:val="0"/>
      <w:divBdr>
        <w:top w:val="none" w:sz="0" w:space="0" w:color="auto"/>
        <w:left w:val="none" w:sz="0" w:space="0" w:color="auto"/>
        <w:bottom w:val="none" w:sz="0" w:space="0" w:color="auto"/>
        <w:right w:val="none" w:sz="0" w:space="0" w:color="auto"/>
      </w:divBdr>
    </w:div>
    <w:div w:id="90443778">
      <w:bodyDiv w:val="1"/>
      <w:marLeft w:val="0"/>
      <w:marRight w:val="0"/>
      <w:marTop w:val="0"/>
      <w:marBottom w:val="0"/>
      <w:divBdr>
        <w:top w:val="none" w:sz="0" w:space="0" w:color="auto"/>
        <w:left w:val="none" w:sz="0" w:space="0" w:color="auto"/>
        <w:bottom w:val="none" w:sz="0" w:space="0" w:color="auto"/>
        <w:right w:val="none" w:sz="0" w:space="0" w:color="auto"/>
      </w:divBdr>
    </w:div>
    <w:div w:id="152307535">
      <w:bodyDiv w:val="1"/>
      <w:marLeft w:val="0"/>
      <w:marRight w:val="0"/>
      <w:marTop w:val="0"/>
      <w:marBottom w:val="0"/>
      <w:divBdr>
        <w:top w:val="none" w:sz="0" w:space="0" w:color="auto"/>
        <w:left w:val="none" w:sz="0" w:space="0" w:color="auto"/>
        <w:bottom w:val="none" w:sz="0" w:space="0" w:color="auto"/>
        <w:right w:val="none" w:sz="0" w:space="0" w:color="auto"/>
      </w:divBdr>
    </w:div>
    <w:div w:id="197357463">
      <w:bodyDiv w:val="1"/>
      <w:marLeft w:val="0"/>
      <w:marRight w:val="0"/>
      <w:marTop w:val="0"/>
      <w:marBottom w:val="0"/>
      <w:divBdr>
        <w:top w:val="none" w:sz="0" w:space="0" w:color="auto"/>
        <w:left w:val="none" w:sz="0" w:space="0" w:color="auto"/>
        <w:bottom w:val="none" w:sz="0" w:space="0" w:color="auto"/>
        <w:right w:val="none" w:sz="0" w:space="0" w:color="auto"/>
      </w:divBdr>
    </w:div>
    <w:div w:id="252134399">
      <w:bodyDiv w:val="1"/>
      <w:marLeft w:val="0"/>
      <w:marRight w:val="0"/>
      <w:marTop w:val="0"/>
      <w:marBottom w:val="0"/>
      <w:divBdr>
        <w:top w:val="none" w:sz="0" w:space="0" w:color="auto"/>
        <w:left w:val="none" w:sz="0" w:space="0" w:color="auto"/>
        <w:bottom w:val="none" w:sz="0" w:space="0" w:color="auto"/>
        <w:right w:val="none" w:sz="0" w:space="0" w:color="auto"/>
      </w:divBdr>
    </w:div>
    <w:div w:id="268127505">
      <w:bodyDiv w:val="1"/>
      <w:marLeft w:val="0"/>
      <w:marRight w:val="0"/>
      <w:marTop w:val="0"/>
      <w:marBottom w:val="0"/>
      <w:divBdr>
        <w:top w:val="none" w:sz="0" w:space="0" w:color="auto"/>
        <w:left w:val="none" w:sz="0" w:space="0" w:color="auto"/>
        <w:bottom w:val="none" w:sz="0" w:space="0" w:color="auto"/>
        <w:right w:val="none" w:sz="0" w:space="0" w:color="auto"/>
      </w:divBdr>
    </w:div>
    <w:div w:id="278148669">
      <w:bodyDiv w:val="1"/>
      <w:marLeft w:val="0"/>
      <w:marRight w:val="0"/>
      <w:marTop w:val="0"/>
      <w:marBottom w:val="0"/>
      <w:divBdr>
        <w:top w:val="none" w:sz="0" w:space="0" w:color="auto"/>
        <w:left w:val="none" w:sz="0" w:space="0" w:color="auto"/>
        <w:bottom w:val="none" w:sz="0" w:space="0" w:color="auto"/>
        <w:right w:val="none" w:sz="0" w:space="0" w:color="auto"/>
      </w:divBdr>
    </w:div>
    <w:div w:id="332685730">
      <w:bodyDiv w:val="1"/>
      <w:marLeft w:val="0"/>
      <w:marRight w:val="0"/>
      <w:marTop w:val="0"/>
      <w:marBottom w:val="0"/>
      <w:divBdr>
        <w:top w:val="none" w:sz="0" w:space="0" w:color="auto"/>
        <w:left w:val="none" w:sz="0" w:space="0" w:color="auto"/>
        <w:bottom w:val="none" w:sz="0" w:space="0" w:color="auto"/>
        <w:right w:val="none" w:sz="0" w:space="0" w:color="auto"/>
      </w:divBdr>
    </w:div>
    <w:div w:id="375282447">
      <w:bodyDiv w:val="1"/>
      <w:marLeft w:val="0"/>
      <w:marRight w:val="0"/>
      <w:marTop w:val="0"/>
      <w:marBottom w:val="0"/>
      <w:divBdr>
        <w:top w:val="none" w:sz="0" w:space="0" w:color="auto"/>
        <w:left w:val="none" w:sz="0" w:space="0" w:color="auto"/>
        <w:bottom w:val="none" w:sz="0" w:space="0" w:color="auto"/>
        <w:right w:val="none" w:sz="0" w:space="0" w:color="auto"/>
      </w:divBdr>
    </w:div>
    <w:div w:id="380253826">
      <w:bodyDiv w:val="1"/>
      <w:marLeft w:val="0"/>
      <w:marRight w:val="0"/>
      <w:marTop w:val="0"/>
      <w:marBottom w:val="0"/>
      <w:divBdr>
        <w:top w:val="none" w:sz="0" w:space="0" w:color="auto"/>
        <w:left w:val="none" w:sz="0" w:space="0" w:color="auto"/>
        <w:bottom w:val="none" w:sz="0" w:space="0" w:color="auto"/>
        <w:right w:val="none" w:sz="0" w:space="0" w:color="auto"/>
      </w:divBdr>
    </w:div>
    <w:div w:id="397558052">
      <w:bodyDiv w:val="1"/>
      <w:marLeft w:val="0"/>
      <w:marRight w:val="0"/>
      <w:marTop w:val="0"/>
      <w:marBottom w:val="0"/>
      <w:divBdr>
        <w:top w:val="none" w:sz="0" w:space="0" w:color="auto"/>
        <w:left w:val="none" w:sz="0" w:space="0" w:color="auto"/>
        <w:bottom w:val="none" w:sz="0" w:space="0" w:color="auto"/>
        <w:right w:val="none" w:sz="0" w:space="0" w:color="auto"/>
      </w:divBdr>
    </w:div>
    <w:div w:id="399059666">
      <w:bodyDiv w:val="1"/>
      <w:marLeft w:val="0"/>
      <w:marRight w:val="0"/>
      <w:marTop w:val="0"/>
      <w:marBottom w:val="0"/>
      <w:divBdr>
        <w:top w:val="none" w:sz="0" w:space="0" w:color="auto"/>
        <w:left w:val="none" w:sz="0" w:space="0" w:color="auto"/>
        <w:bottom w:val="none" w:sz="0" w:space="0" w:color="auto"/>
        <w:right w:val="none" w:sz="0" w:space="0" w:color="auto"/>
      </w:divBdr>
    </w:div>
    <w:div w:id="426000818">
      <w:bodyDiv w:val="1"/>
      <w:marLeft w:val="0"/>
      <w:marRight w:val="0"/>
      <w:marTop w:val="0"/>
      <w:marBottom w:val="0"/>
      <w:divBdr>
        <w:top w:val="none" w:sz="0" w:space="0" w:color="auto"/>
        <w:left w:val="none" w:sz="0" w:space="0" w:color="auto"/>
        <w:bottom w:val="none" w:sz="0" w:space="0" w:color="auto"/>
        <w:right w:val="none" w:sz="0" w:space="0" w:color="auto"/>
      </w:divBdr>
      <w:divsChild>
        <w:div w:id="49545349">
          <w:marLeft w:val="480"/>
          <w:marRight w:val="0"/>
          <w:marTop w:val="0"/>
          <w:marBottom w:val="0"/>
          <w:divBdr>
            <w:top w:val="none" w:sz="0" w:space="0" w:color="auto"/>
            <w:left w:val="none" w:sz="0" w:space="0" w:color="auto"/>
            <w:bottom w:val="none" w:sz="0" w:space="0" w:color="auto"/>
            <w:right w:val="none" w:sz="0" w:space="0" w:color="auto"/>
          </w:divBdr>
        </w:div>
        <w:div w:id="1209611997">
          <w:marLeft w:val="0"/>
          <w:marRight w:val="0"/>
          <w:marTop w:val="0"/>
          <w:marBottom w:val="0"/>
          <w:divBdr>
            <w:top w:val="none" w:sz="0" w:space="0" w:color="auto"/>
            <w:left w:val="none" w:sz="0" w:space="0" w:color="auto"/>
            <w:bottom w:val="none" w:sz="0" w:space="0" w:color="auto"/>
            <w:right w:val="none" w:sz="0" w:space="0" w:color="auto"/>
          </w:divBdr>
          <w:divsChild>
            <w:div w:id="8803102">
              <w:marLeft w:val="0"/>
              <w:marRight w:val="0"/>
              <w:marTop w:val="0"/>
              <w:marBottom w:val="0"/>
              <w:divBdr>
                <w:top w:val="none" w:sz="0" w:space="0" w:color="auto"/>
                <w:left w:val="none" w:sz="0" w:space="0" w:color="auto"/>
                <w:bottom w:val="none" w:sz="0" w:space="0" w:color="auto"/>
                <w:right w:val="none" w:sz="0" w:space="0" w:color="auto"/>
              </w:divBdr>
            </w:div>
            <w:div w:id="360209321">
              <w:marLeft w:val="0"/>
              <w:marRight w:val="0"/>
              <w:marTop w:val="120"/>
              <w:marBottom w:val="0"/>
              <w:divBdr>
                <w:top w:val="none" w:sz="0" w:space="0" w:color="auto"/>
                <w:left w:val="none" w:sz="0" w:space="0" w:color="auto"/>
                <w:bottom w:val="none" w:sz="0" w:space="0" w:color="auto"/>
                <w:right w:val="none" w:sz="0" w:space="0" w:color="auto"/>
              </w:divBdr>
            </w:div>
          </w:divsChild>
        </w:div>
        <w:div w:id="1228878824">
          <w:marLeft w:val="0"/>
          <w:marRight w:val="0"/>
          <w:marTop w:val="0"/>
          <w:marBottom w:val="0"/>
          <w:divBdr>
            <w:top w:val="none" w:sz="0" w:space="0" w:color="auto"/>
            <w:left w:val="none" w:sz="0" w:space="0" w:color="auto"/>
            <w:bottom w:val="none" w:sz="0" w:space="0" w:color="auto"/>
            <w:right w:val="none" w:sz="0" w:space="0" w:color="auto"/>
          </w:divBdr>
          <w:divsChild>
            <w:div w:id="284624871">
              <w:marLeft w:val="0"/>
              <w:marRight w:val="0"/>
              <w:marTop w:val="120"/>
              <w:marBottom w:val="0"/>
              <w:divBdr>
                <w:top w:val="none" w:sz="0" w:space="0" w:color="auto"/>
                <w:left w:val="none" w:sz="0" w:space="0" w:color="auto"/>
                <w:bottom w:val="none" w:sz="0" w:space="0" w:color="auto"/>
                <w:right w:val="none" w:sz="0" w:space="0" w:color="auto"/>
              </w:divBdr>
            </w:div>
            <w:div w:id="647632693">
              <w:marLeft w:val="0"/>
              <w:marRight w:val="0"/>
              <w:marTop w:val="0"/>
              <w:marBottom w:val="0"/>
              <w:divBdr>
                <w:top w:val="none" w:sz="0" w:space="0" w:color="auto"/>
                <w:left w:val="none" w:sz="0" w:space="0" w:color="auto"/>
                <w:bottom w:val="none" w:sz="0" w:space="0" w:color="auto"/>
                <w:right w:val="none" w:sz="0" w:space="0" w:color="auto"/>
              </w:divBdr>
            </w:div>
          </w:divsChild>
        </w:div>
        <w:div w:id="1281036201">
          <w:marLeft w:val="480"/>
          <w:marRight w:val="0"/>
          <w:marTop w:val="0"/>
          <w:marBottom w:val="0"/>
          <w:divBdr>
            <w:top w:val="none" w:sz="0" w:space="0" w:color="auto"/>
            <w:left w:val="none" w:sz="0" w:space="0" w:color="auto"/>
            <w:bottom w:val="none" w:sz="0" w:space="0" w:color="auto"/>
            <w:right w:val="none" w:sz="0" w:space="0" w:color="auto"/>
          </w:divBdr>
        </w:div>
        <w:div w:id="1381973657">
          <w:marLeft w:val="480"/>
          <w:marRight w:val="0"/>
          <w:marTop w:val="0"/>
          <w:marBottom w:val="0"/>
          <w:divBdr>
            <w:top w:val="none" w:sz="0" w:space="0" w:color="auto"/>
            <w:left w:val="none" w:sz="0" w:space="0" w:color="auto"/>
            <w:bottom w:val="none" w:sz="0" w:space="0" w:color="auto"/>
            <w:right w:val="none" w:sz="0" w:space="0" w:color="auto"/>
          </w:divBdr>
        </w:div>
        <w:div w:id="1399328396">
          <w:marLeft w:val="0"/>
          <w:marRight w:val="0"/>
          <w:marTop w:val="0"/>
          <w:marBottom w:val="0"/>
          <w:divBdr>
            <w:top w:val="none" w:sz="0" w:space="0" w:color="auto"/>
            <w:left w:val="none" w:sz="0" w:space="0" w:color="auto"/>
            <w:bottom w:val="none" w:sz="0" w:space="0" w:color="auto"/>
            <w:right w:val="none" w:sz="0" w:space="0" w:color="auto"/>
          </w:divBdr>
          <w:divsChild>
            <w:div w:id="405037041">
              <w:marLeft w:val="0"/>
              <w:marRight w:val="0"/>
              <w:marTop w:val="120"/>
              <w:marBottom w:val="0"/>
              <w:divBdr>
                <w:top w:val="none" w:sz="0" w:space="0" w:color="auto"/>
                <w:left w:val="none" w:sz="0" w:space="0" w:color="auto"/>
                <w:bottom w:val="none" w:sz="0" w:space="0" w:color="auto"/>
                <w:right w:val="none" w:sz="0" w:space="0" w:color="auto"/>
              </w:divBdr>
            </w:div>
            <w:div w:id="1006128179">
              <w:marLeft w:val="0"/>
              <w:marRight w:val="0"/>
              <w:marTop w:val="0"/>
              <w:marBottom w:val="0"/>
              <w:divBdr>
                <w:top w:val="none" w:sz="0" w:space="0" w:color="auto"/>
                <w:left w:val="none" w:sz="0" w:space="0" w:color="auto"/>
                <w:bottom w:val="none" w:sz="0" w:space="0" w:color="auto"/>
                <w:right w:val="none" w:sz="0" w:space="0" w:color="auto"/>
              </w:divBdr>
            </w:div>
          </w:divsChild>
        </w:div>
        <w:div w:id="1440182770">
          <w:marLeft w:val="480"/>
          <w:marRight w:val="0"/>
          <w:marTop w:val="0"/>
          <w:marBottom w:val="0"/>
          <w:divBdr>
            <w:top w:val="none" w:sz="0" w:space="0" w:color="auto"/>
            <w:left w:val="none" w:sz="0" w:space="0" w:color="auto"/>
            <w:bottom w:val="none" w:sz="0" w:space="0" w:color="auto"/>
            <w:right w:val="none" w:sz="0" w:space="0" w:color="auto"/>
          </w:divBdr>
        </w:div>
        <w:div w:id="1605726061">
          <w:marLeft w:val="0"/>
          <w:marRight w:val="0"/>
          <w:marTop w:val="0"/>
          <w:marBottom w:val="0"/>
          <w:divBdr>
            <w:top w:val="none" w:sz="0" w:space="0" w:color="auto"/>
            <w:left w:val="none" w:sz="0" w:space="0" w:color="auto"/>
            <w:bottom w:val="none" w:sz="0" w:space="0" w:color="auto"/>
            <w:right w:val="none" w:sz="0" w:space="0" w:color="auto"/>
          </w:divBdr>
          <w:divsChild>
            <w:div w:id="211161940">
              <w:marLeft w:val="0"/>
              <w:marRight w:val="0"/>
              <w:marTop w:val="120"/>
              <w:marBottom w:val="0"/>
              <w:divBdr>
                <w:top w:val="none" w:sz="0" w:space="0" w:color="auto"/>
                <w:left w:val="none" w:sz="0" w:space="0" w:color="auto"/>
                <w:bottom w:val="none" w:sz="0" w:space="0" w:color="auto"/>
                <w:right w:val="none" w:sz="0" w:space="0" w:color="auto"/>
              </w:divBdr>
            </w:div>
            <w:div w:id="315183629">
              <w:marLeft w:val="0"/>
              <w:marRight w:val="0"/>
              <w:marTop w:val="0"/>
              <w:marBottom w:val="0"/>
              <w:divBdr>
                <w:top w:val="none" w:sz="0" w:space="0" w:color="auto"/>
                <w:left w:val="none" w:sz="0" w:space="0" w:color="auto"/>
                <w:bottom w:val="none" w:sz="0" w:space="0" w:color="auto"/>
                <w:right w:val="none" w:sz="0" w:space="0" w:color="auto"/>
              </w:divBdr>
            </w:div>
          </w:divsChild>
        </w:div>
        <w:div w:id="1764109167">
          <w:marLeft w:val="480"/>
          <w:marRight w:val="0"/>
          <w:marTop w:val="0"/>
          <w:marBottom w:val="0"/>
          <w:divBdr>
            <w:top w:val="none" w:sz="0" w:space="0" w:color="auto"/>
            <w:left w:val="none" w:sz="0" w:space="0" w:color="auto"/>
            <w:bottom w:val="none" w:sz="0" w:space="0" w:color="auto"/>
            <w:right w:val="none" w:sz="0" w:space="0" w:color="auto"/>
          </w:divBdr>
        </w:div>
        <w:div w:id="1838499759">
          <w:marLeft w:val="0"/>
          <w:marRight w:val="0"/>
          <w:marTop w:val="0"/>
          <w:marBottom w:val="0"/>
          <w:divBdr>
            <w:top w:val="none" w:sz="0" w:space="0" w:color="auto"/>
            <w:left w:val="none" w:sz="0" w:space="0" w:color="auto"/>
            <w:bottom w:val="none" w:sz="0" w:space="0" w:color="auto"/>
            <w:right w:val="none" w:sz="0" w:space="0" w:color="auto"/>
          </w:divBdr>
          <w:divsChild>
            <w:div w:id="1350062545">
              <w:marLeft w:val="0"/>
              <w:marRight w:val="0"/>
              <w:marTop w:val="0"/>
              <w:marBottom w:val="0"/>
              <w:divBdr>
                <w:top w:val="none" w:sz="0" w:space="0" w:color="auto"/>
                <w:left w:val="none" w:sz="0" w:space="0" w:color="auto"/>
                <w:bottom w:val="none" w:sz="0" w:space="0" w:color="auto"/>
                <w:right w:val="none" w:sz="0" w:space="0" w:color="auto"/>
              </w:divBdr>
            </w:div>
            <w:div w:id="1977830104">
              <w:marLeft w:val="0"/>
              <w:marRight w:val="0"/>
              <w:marTop w:val="120"/>
              <w:marBottom w:val="0"/>
              <w:divBdr>
                <w:top w:val="none" w:sz="0" w:space="0" w:color="auto"/>
                <w:left w:val="none" w:sz="0" w:space="0" w:color="auto"/>
                <w:bottom w:val="none" w:sz="0" w:space="0" w:color="auto"/>
                <w:right w:val="none" w:sz="0" w:space="0" w:color="auto"/>
              </w:divBdr>
            </w:div>
          </w:divsChild>
        </w:div>
        <w:div w:id="2025940372">
          <w:marLeft w:val="0"/>
          <w:marRight w:val="0"/>
          <w:marTop w:val="0"/>
          <w:marBottom w:val="0"/>
          <w:divBdr>
            <w:top w:val="none" w:sz="0" w:space="0" w:color="auto"/>
            <w:left w:val="none" w:sz="0" w:space="0" w:color="auto"/>
            <w:bottom w:val="none" w:sz="0" w:space="0" w:color="auto"/>
            <w:right w:val="none" w:sz="0" w:space="0" w:color="auto"/>
          </w:divBdr>
          <w:divsChild>
            <w:div w:id="1700081660">
              <w:marLeft w:val="0"/>
              <w:marRight w:val="0"/>
              <w:marTop w:val="120"/>
              <w:marBottom w:val="0"/>
              <w:divBdr>
                <w:top w:val="none" w:sz="0" w:space="0" w:color="auto"/>
                <w:left w:val="none" w:sz="0" w:space="0" w:color="auto"/>
                <w:bottom w:val="none" w:sz="0" w:space="0" w:color="auto"/>
                <w:right w:val="none" w:sz="0" w:space="0" w:color="auto"/>
              </w:divBdr>
            </w:div>
            <w:div w:id="2140952458">
              <w:marLeft w:val="0"/>
              <w:marRight w:val="0"/>
              <w:marTop w:val="0"/>
              <w:marBottom w:val="0"/>
              <w:divBdr>
                <w:top w:val="none" w:sz="0" w:space="0" w:color="auto"/>
                <w:left w:val="none" w:sz="0" w:space="0" w:color="auto"/>
                <w:bottom w:val="none" w:sz="0" w:space="0" w:color="auto"/>
                <w:right w:val="none" w:sz="0" w:space="0" w:color="auto"/>
              </w:divBdr>
            </w:div>
          </w:divsChild>
        </w:div>
        <w:div w:id="2083527229">
          <w:marLeft w:val="480"/>
          <w:marRight w:val="0"/>
          <w:marTop w:val="0"/>
          <w:marBottom w:val="0"/>
          <w:divBdr>
            <w:top w:val="none" w:sz="0" w:space="0" w:color="auto"/>
            <w:left w:val="none" w:sz="0" w:space="0" w:color="auto"/>
            <w:bottom w:val="none" w:sz="0" w:space="0" w:color="auto"/>
            <w:right w:val="none" w:sz="0" w:space="0" w:color="auto"/>
          </w:divBdr>
        </w:div>
      </w:divsChild>
    </w:div>
    <w:div w:id="440420638">
      <w:bodyDiv w:val="1"/>
      <w:marLeft w:val="0"/>
      <w:marRight w:val="0"/>
      <w:marTop w:val="0"/>
      <w:marBottom w:val="0"/>
      <w:divBdr>
        <w:top w:val="none" w:sz="0" w:space="0" w:color="auto"/>
        <w:left w:val="none" w:sz="0" w:space="0" w:color="auto"/>
        <w:bottom w:val="none" w:sz="0" w:space="0" w:color="auto"/>
        <w:right w:val="none" w:sz="0" w:space="0" w:color="auto"/>
      </w:divBdr>
      <w:divsChild>
        <w:div w:id="1387604730">
          <w:marLeft w:val="0"/>
          <w:marRight w:val="0"/>
          <w:marTop w:val="0"/>
          <w:marBottom w:val="0"/>
          <w:divBdr>
            <w:top w:val="none" w:sz="0" w:space="0" w:color="auto"/>
            <w:left w:val="none" w:sz="0" w:space="0" w:color="auto"/>
            <w:bottom w:val="none" w:sz="0" w:space="0" w:color="auto"/>
            <w:right w:val="none" w:sz="0" w:space="0" w:color="auto"/>
          </w:divBdr>
        </w:div>
        <w:div w:id="1145509713">
          <w:marLeft w:val="0"/>
          <w:marRight w:val="0"/>
          <w:marTop w:val="0"/>
          <w:marBottom w:val="0"/>
          <w:divBdr>
            <w:top w:val="none" w:sz="0" w:space="0" w:color="auto"/>
            <w:left w:val="none" w:sz="0" w:space="0" w:color="auto"/>
            <w:bottom w:val="none" w:sz="0" w:space="0" w:color="auto"/>
            <w:right w:val="none" w:sz="0" w:space="0" w:color="auto"/>
          </w:divBdr>
        </w:div>
      </w:divsChild>
    </w:div>
    <w:div w:id="448085775">
      <w:bodyDiv w:val="1"/>
      <w:marLeft w:val="0"/>
      <w:marRight w:val="0"/>
      <w:marTop w:val="0"/>
      <w:marBottom w:val="0"/>
      <w:divBdr>
        <w:top w:val="none" w:sz="0" w:space="0" w:color="auto"/>
        <w:left w:val="none" w:sz="0" w:space="0" w:color="auto"/>
        <w:bottom w:val="none" w:sz="0" w:space="0" w:color="auto"/>
        <w:right w:val="none" w:sz="0" w:space="0" w:color="auto"/>
      </w:divBdr>
    </w:div>
    <w:div w:id="532958021">
      <w:bodyDiv w:val="1"/>
      <w:marLeft w:val="0"/>
      <w:marRight w:val="0"/>
      <w:marTop w:val="0"/>
      <w:marBottom w:val="0"/>
      <w:divBdr>
        <w:top w:val="none" w:sz="0" w:space="0" w:color="auto"/>
        <w:left w:val="none" w:sz="0" w:space="0" w:color="auto"/>
        <w:bottom w:val="none" w:sz="0" w:space="0" w:color="auto"/>
        <w:right w:val="none" w:sz="0" w:space="0" w:color="auto"/>
      </w:divBdr>
    </w:div>
    <w:div w:id="537203412">
      <w:bodyDiv w:val="1"/>
      <w:marLeft w:val="0"/>
      <w:marRight w:val="0"/>
      <w:marTop w:val="0"/>
      <w:marBottom w:val="0"/>
      <w:divBdr>
        <w:top w:val="none" w:sz="0" w:space="0" w:color="auto"/>
        <w:left w:val="none" w:sz="0" w:space="0" w:color="auto"/>
        <w:bottom w:val="none" w:sz="0" w:space="0" w:color="auto"/>
        <w:right w:val="none" w:sz="0" w:space="0" w:color="auto"/>
      </w:divBdr>
    </w:div>
    <w:div w:id="575479117">
      <w:bodyDiv w:val="1"/>
      <w:marLeft w:val="0"/>
      <w:marRight w:val="0"/>
      <w:marTop w:val="0"/>
      <w:marBottom w:val="0"/>
      <w:divBdr>
        <w:top w:val="none" w:sz="0" w:space="0" w:color="auto"/>
        <w:left w:val="none" w:sz="0" w:space="0" w:color="auto"/>
        <w:bottom w:val="none" w:sz="0" w:space="0" w:color="auto"/>
        <w:right w:val="none" w:sz="0" w:space="0" w:color="auto"/>
      </w:divBdr>
      <w:divsChild>
        <w:div w:id="1823932971">
          <w:marLeft w:val="0"/>
          <w:marRight w:val="0"/>
          <w:marTop w:val="0"/>
          <w:marBottom w:val="0"/>
          <w:divBdr>
            <w:top w:val="none" w:sz="0" w:space="0" w:color="auto"/>
            <w:left w:val="none" w:sz="0" w:space="0" w:color="auto"/>
            <w:bottom w:val="none" w:sz="0" w:space="0" w:color="auto"/>
            <w:right w:val="none" w:sz="0" w:space="0" w:color="auto"/>
          </w:divBdr>
        </w:div>
      </w:divsChild>
    </w:div>
    <w:div w:id="612324829">
      <w:bodyDiv w:val="1"/>
      <w:marLeft w:val="0"/>
      <w:marRight w:val="0"/>
      <w:marTop w:val="0"/>
      <w:marBottom w:val="0"/>
      <w:divBdr>
        <w:top w:val="none" w:sz="0" w:space="0" w:color="auto"/>
        <w:left w:val="none" w:sz="0" w:space="0" w:color="auto"/>
        <w:bottom w:val="none" w:sz="0" w:space="0" w:color="auto"/>
        <w:right w:val="none" w:sz="0" w:space="0" w:color="auto"/>
      </w:divBdr>
    </w:div>
    <w:div w:id="719594964">
      <w:bodyDiv w:val="1"/>
      <w:marLeft w:val="0"/>
      <w:marRight w:val="0"/>
      <w:marTop w:val="0"/>
      <w:marBottom w:val="0"/>
      <w:divBdr>
        <w:top w:val="none" w:sz="0" w:space="0" w:color="auto"/>
        <w:left w:val="none" w:sz="0" w:space="0" w:color="auto"/>
        <w:bottom w:val="none" w:sz="0" w:space="0" w:color="auto"/>
        <w:right w:val="none" w:sz="0" w:space="0" w:color="auto"/>
      </w:divBdr>
    </w:div>
    <w:div w:id="767426872">
      <w:bodyDiv w:val="1"/>
      <w:marLeft w:val="0"/>
      <w:marRight w:val="0"/>
      <w:marTop w:val="0"/>
      <w:marBottom w:val="0"/>
      <w:divBdr>
        <w:top w:val="none" w:sz="0" w:space="0" w:color="auto"/>
        <w:left w:val="none" w:sz="0" w:space="0" w:color="auto"/>
        <w:bottom w:val="none" w:sz="0" w:space="0" w:color="auto"/>
        <w:right w:val="none" w:sz="0" w:space="0" w:color="auto"/>
      </w:divBdr>
    </w:div>
    <w:div w:id="790057849">
      <w:bodyDiv w:val="1"/>
      <w:marLeft w:val="0"/>
      <w:marRight w:val="0"/>
      <w:marTop w:val="0"/>
      <w:marBottom w:val="0"/>
      <w:divBdr>
        <w:top w:val="none" w:sz="0" w:space="0" w:color="auto"/>
        <w:left w:val="none" w:sz="0" w:space="0" w:color="auto"/>
        <w:bottom w:val="none" w:sz="0" w:space="0" w:color="auto"/>
        <w:right w:val="none" w:sz="0" w:space="0" w:color="auto"/>
      </w:divBdr>
    </w:div>
    <w:div w:id="825048825">
      <w:bodyDiv w:val="1"/>
      <w:marLeft w:val="0"/>
      <w:marRight w:val="0"/>
      <w:marTop w:val="0"/>
      <w:marBottom w:val="0"/>
      <w:divBdr>
        <w:top w:val="none" w:sz="0" w:space="0" w:color="auto"/>
        <w:left w:val="none" w:sz="0" w:space="0" w:color="auto"/>
        <w:bottom w:val="none" w:sz="0" w:space="0" w:color="auto"/>
        <w:right w:val="none" w:sz="0" w:space="0" w:color="auto"/>
      </w:divBdr>
    </w:div>
    <w:div w:id="850947599">
      <w:bodyDiv w:val="1"/>
      <w:marLeft w:val="0"/>
      <w:marRight w:val="0"/>
      <w:marTop w:val="0"/>
      <w:marBottom w:val="0"/>
      <w:divBdr>
        <w:top w:val="none" w:sz="0" w:space="0" w:color="auto"/>
        <w:left w:val="none" w:sz="0" w:space="0" w:color="auto"/>
        <w:bottom w:val="none" w:sz="0" w:space="0" w:color="auto"/>
        <w:right w:val="none" w:sz="0" w:space="0" w:color="auto"/>
      </w:divBdr>
    </w:div>
    <w:div w:id="858201771">
      <w:bodyDiv w:val="1"/>
      <w:marLeft w:val="0"/>
      <w:marRight w:val="0"/>
      <w:marTop w:val="0"/>
      <w:marBottom w:val="0"/>
      <w:divBdr>
        <w:top w:val="none" w:sz="0" w:space="0" w:color="auto"/>
        <w:left w:val="none" w:sz="0" w:space="0" w:color="auto"/>
        <w:bottom w:val="none" w:sz="0" w:space="0" w:color="auto"/>
        <w:right w:val="none" w:sz="0" w:space="0" w:color="auto"/>
      </w:divBdr>
    </w:div>
    <w:div w:id="880048594">
      <w:bodyDiv w:val="1"/>
      <w:marLeft w:val="0"/>
      <w:marRight w:val="0"/>
      <w:marTop w:val="0"/>
      <w:marBottom w:val="0"/>
      <w:divBdr>
        <w:top w:val="none" w:sz="0" w:space="0" w:color="auto"/>
        <w:left w:val="none" w:sz="0" w:space="0" w:color="auto"/>
        <w:bottom w:val="none" w:sz="0" w:space="0" w:color="auto"/>
        <w:right w:val="none" w:sz="0" w:space="0" w:color="auto"/>
      </w:divBdr>
    </w:div>
    <w:div w:id="886916427">
      <w:bodyDiv w:val="1"/>
      <w:marLeft w:val="0"/>
      <w:marRight w:val="0"/>
      <w:marTop w:val="0"/>
      <w:marBottom w:val="0"/>
      <w:divBdr>
        <w:top w:val="none" w:sz="0" w:space="0" w:color="auto"/>
        <w:left w:val="none" w:sz="0" w:space="0" w:color="auto"/>
        <w:bottom w:val="none" w:sz="0" w:space="0" w:color="auto"/>
        <w:right w:val="none" w:sz="0" w:space="0" w:color="auto"/>
      </w:divBdr>
      <w:divsChild>
        <w:div w:id="1272934678">
          <w:marLeft w:val="0"/>
          <w:marRight w:val="0"/>
          <w:marTop w:val="0"/>
          <w:marBottom w:val="0"/>
          <w:divBdr>
            <w:top w:val="none" w:sz="0" w:space="0" w:color="auto"/>
            <w:left w:val="none" w:sz="0" w:space="0" w:color="auto"/>
            <w:bottom w:val="none" w:sz="0" w:space="0" w:color="auto"/>
            <w:right w:val="none" w:sz="0" w:space="0" w:color="auto"/>
          </w:divBdr>
        </w:div>
        <w:div w:id="1972906318">
          <w:marLeft w:val="0"/>
          <w:marRight w:val="0"/>
          <w:marTop w:val="0"/>
          <w:marBottom w:val="0"/>
          <w:divBdr>
            <w:top w:val="none" w:sz="0" w:space="0" w:color="auto"/>
            <w:left w:val="none" w:sz="0" w:space="0" w:color="auto"/>
            <w:bottom w:val="none" w:sz="0" w:space="0" w:color="auto"/>
            <w:right w:val="none" w:sz="0" w:space="0" w:color="auto"/>
          </w:divBdr>
        </w:div>
      </w:divsChild>
    </w:div>
    <w:div w:id="887378993">
      <w:bodyDiv w:val="1"/>
      <w:marLeft w:val="0"/>
      <w:marRight w:val="0"/>
      <w:marTop w:val="0"/>
      <w:marBottom w:val="0"/>
      <w:divBdr>
        <w:top w:val="none" w:sz="0" w:space="0" w:color="auto"/>
        <w:left w:val="none" w:sz="0" w:space="0" w:color="auto"/>
        <w:bottom w:val="none" w:sz="0" w:space="0" w:color="auto"/>
        <w:right w:val="none" w:sz="0" w:space="0" w:color="auto"/>
      </w:divBdr>
    </w:div>
    <w:div w:id="898201904">
      <w:bodyDiv w:val="1"/>
      <w:marLeft w:val="0"/>
      <w:marRight w:val="0"/>
      <w:marTop w:val="0"/>
      <w:marBottom w:val="0"/>
      <w:divBdr>
        <w:top w:val="none" w:sz="0" w:space="0" w:color="auto"/>
        <w:left w:val="none" w:sz="0" w:space="0" w:color="auto"/>
        <w:bottom w:val="none" w:sz="0" w:space="0" w:color="auto"/>
        <w:right w:val="none" w:sz="0" w:space="0" w:color="auto"/>
      </w:divBdr>
    </w:div>
    <w:div w:id="910164897">
      <w:bodyDiv w:val="1"/>
      <w:marLeft w:val="0"/>
      <w:marRight w:val="0"/>
      <w:marTop w:val="0"/>
      <w:marBottom w:val="0"/>
      <w:divBdr>
        <w:top w:val="none" w:sz="0" w:space="0" w:color="auto"/>
        <w:left w:val="none" w:sz="0" w:space="0" w:color="auto"/>
        <w:bottom w:val="none" w:sz="0" w:space="0" w:color="auto"/>
        <w:right w:val="none" w:sz="0" w:space="0" w:color="auto"/>
      </w:divBdr>
    </w:div>
    <w:div w:id="1009986099">
      <w:bodyDiv w:val="1"/>
      <w:marLeft w:val="0"/>
      <w:marRight w:val="0"/>
      <w:marTop w:val="0"/>
      <w:marBottom w:val="0"/>
      <w:divBdr>
        <w:top w:val="none" w:sz="0" w:space="0" w:color="auto"/>
        <w:left w:val="none" w:sz="0" w:space="0" w:color="auto"/>
        <w:bottom w:val="none" w:sz="0" w:space="0" w:color="auto"/>
        <w:right w:val="none" w:sz="0" w:space="0" w:color="auto"/>
      </w:divBdr>
    </w:div>
    <w:div w:id="1051883972">
      <w:bodyDiv w:val="1"/>
      <w:marLeft w:val="0"/>
      <w:marRight w:val="0"/>
      <w:marTop w:val="0"/>
      <w:marBottom w:val="0"/>
      <w:divBdr>
        <w:top w:val="none" w:sz="0" w:space="0" w:color="auto"/>
        <w:left w:val="none" w:sz="0" w:space="0" w:color="auto"/>
        <w:bottom w:val="none" w:sz="0" w:space="0" w:color="auto"/>
        <w:right w:val="none" w:sz="0" w:space="0" w:color="auto"/>
      </w:divBdr>
    </w:div>
    <w:div w:id="1056856639">
      <w:bodyDiv w:val="1"/>
      <w:marLeft w:val="0"/>
      <w:marRight w:val="0"/>
      <w:marTop w:val="0"/>
      <w:marBottom w:val="0"/>
      <w:divBdr>
        <w:top w:val="none" w:sz="0" w:space="0" w:color="auto"/>
        <w:left w:val="none" w:sz="0" w:space="0" w:color="auto"/>
        <w:bottom w:val="none" w:sz="0" w:space="0" w:color="auto"/>
        <w:right w:val="none" w:sz="0" w:space="0" w:color="auto"/>
      </w:divBdr>
    </w:div>
    <w:div w:id="1112433216">
      <w:bodyDiv w:val="1"/>
      <w:marLeft w:val="0"/>
      <w:marRight w:val="0"/>
      <w:marTop w:val="0"/>
      <w:marBottom w:val="0"/>
      <w:divBdr>
        <w:top w:val="none" w:sz="0" w:space="0" w:color="auto"/>
        <w:left w:val="none" w:sz="0" w:space="0" w:color="auto"/>
        <w:bottom w:val="none" w:sz="0" w:space="0" w:color="auto"/>
        <w:right w:val="none" w:sz="0" w:space="0" w:color="auto"/>
      </w:divBdr>
    </w:div>
    <w:div w:id="1149052527">
      <w:bodyDiv w:val="1"/>
      <w:marLeft w:val="0"/>
      <w:marRight w:val="0"/>
      <w:marTop w:val="0"/>
      <w:marBottom w:val="0"/>
      <w:divBdr>
        <w:top w:val="none" w:sz="0" w:space="0" w:color="auto"/>
        <w:left w:val="none" w:sz="0" w:space="0" w:color="auto"/>
        <w:bottom w:val="none" w:sz="0" w:space="0" w:color="auto"/>
        <w:right w:val="none" w:sz="0" w:space="0" w:color="auto"/>
      </w:divBdr>
    </w:div>
    <w:div w:id="1181505987">
      <w:bodyDiv w:val="1"/>
      <w:marLeft w:val="0"/>
      <w:marRight w:val="0"/>
      <w:marTop w:val="0"/>
      <w:marBottom w:val="0"/>
      <w:divBdr>
        <w:top w:val="none" w:sz="0" w:space="0" w:color="auto"/>
        <w:left w:val="none" w:sz="0" w:space="0" w:color="auto"/>
        <w:bottom w:val="none" w:sz="0" w:space="0" w:color="auto"/>
        <w:right w:val="none" w:sz="0" w:space="0" w:color="auto"/>
      </w:divBdr>
    </w:div>
    <w:div w:id="1206408743">
      <w:bodyDiv w:val="1"/>
      <w:marLeft w:val="0"/>
      <w:marRight w:val="0"/>
      <w:marTop w:val="0"/>
      <w:marBottom w:val="0"/>
      <w:divBdr>
        <w:top w:val="none" w:sz="0" w:space="0" w:color="auto"/>
        <w:left w:val="none" w:sz="0" w:space="0" w:color="auto"/>
        <w:bottom w:val="none" w:sz="0" w:space="0" w:color="auto"/>
        <w:right w:val="none" w:sz="0" w:space="0" w:color="auto"/>
      </w:divBdr>
    </w:div>
    <w:div w:id="1229221531">
      <w:bodyDiv w:val="1"/>
      <w:marLeft w:val="0"/>
      <w:marRight w:val="0"/>
      <w:marTop w:val="0"/>
      <w:marBottom w:val="0"/>
      <w:divBdr>
        <w:top w:val="none" w:sz="0" w:space="0" w:color="auto"/>
        <w:left w:val="none" w:sz="0" w:space="0" w:color="auto"/>
        <w:bottom w:val="none" w:sz="0" w:space="0" w:color="auto"/>
        <w:right w:val="none" w:sz="0" w:space="0" w:color="auto"/>
      </w:divBdr>
    </w:div>
    <w:div w:id="1258366342">
      <w:bodyDiv w:val="1"/>
      <w:marLeft w:val="0"/>
      <w:marRight w:val="0"/>
      <w:marTop w:val="0"/>
      <w:marBottom w:val="0"/>
      <w:divBdr>
        <w:top w:val="none" w:sz="0" w:space="0" w:color="auto"/>
        <w:left w:val="none" w:sz="0" w:space="0" w:color="auto"/>
        <w:bottom w:val="none" w:sz="0" w:space="0" w:color="auto"/>
        <w:right w:val="none" w:sz="0" w:space="0" w:color="auto"/>
      </w:divBdr>
    </w:div>
    <w:div w:id="1271862489">
      <w:bodyDiv w:val="1"/>
      <w:marLeft w:val="390"/>
      <w:marRight w:val="390"/>
      <w:marTop w:val="0"/>
      <w:marBottom w:val="0"/>
      <w:divBdr>
        <w:top w:val="none" w:sz="0" w:space="0" w:color="auto"/>
        <w:left w:val="none" w:sz="0" w:space="0" w:color="auto"/>
        <w:bottom w:val="none" w:sz="0" w:space="0" w:color="auto"/>
        <w:right w:val="none" w:sz="0" w:space="0" w:color="auto"/>
      </w:divBdr>
      <w:divsChild>
        <w:div w:id="576478143">
          <w:marLeft w:val="0"/>
          <w:marRight w:val="0"/>
          <w:marTop w:val="0"/>
          <w:marBottom w:val="0"/>
          <w:divBdr>
            <w:top w:val="none" w:sz="0" w:space="0" w:color="auto"/>
            <w:left w:val="none" w:sz="0" w:space="0" w:color="auto"/>
            <w:bottom w:val="none" w:sz="0" w:space="0" w:color="auto"/>
            <w:right w:val="none" w:sz="0" w:space="0" w:color="auto"/>
          </w:divBdr>
          <w:divsChild>
            <w:div w:id="658851118">
              <w:marLeft w:val="0"/>
              <w:marRight w:val="0"/>
              <w:marTop w:val="0"/>
              <w:marBottom w:val="0"/>
              <w:divBdr>
                <w:top w:val="none" w:sz="0" w:space="0" w:color="auto"/>
                <w:left w:val="none" w:sz="0" w:space="0" w:color="auto"/>
                <w:bottom w:val="none" w:sz="0" w:space="0" w:color="auto"/>
                <w:right w:val="none" w:sz="0" w:space="0" w:color="auto"/>
              </w:divBdr>
              <w:divsChild>
                <w:div w:id="663751748">
                  <w:marLeft w:val="-150"/>
                  <w:marRight w:val="-150"/>
                  <w:marTop w:val="0"/>
                  <w:marBottom w:val="0"/>
                  <w:divBdr>
                    <w:top w:val="none" w:sz="0" w:space="0" w:color="auto"/>
                    <w:left w:val="none" w:sz="0" w:space="0" w:color="auto"/>
                    <w:bottom w:val="none" w:sz="0" w:space="0" w:color="auto"/>
                    <w:right w:val="none" w:sz="0" w:space="0" w:color="auto"/>
                  </w:divBdr>
                  <w:divsChild>
                    <w:div w:id="614480080">
                      <w:marLeft w:val="0"/>
                      <w:marRight w:val="0"/>
                      <w:marTop w:val="0"/>
                      <w:marBottom w:val="0"/>
                      <w:divBdr>
                        <w:top w:val="none" w:sz="0" w:space="0" w:color="auto"/>
                        <w:left w:val="none" w:sz="0" w:space="0" w:color="auto"/>
                        <w:bottom w:val="none" w:sz="0" w:space="0" w:color="auto"/>
                        <w:right w:val="none" w:sz="0" w:space="0" w:color="auto"/>
                      </w:divBdr>
                      <w:divsChild>
                        <w:div w:id="956453154">
                          <w:marLeft w:val="0"/>
                          <w:marRight w:val="0"/>
                          <w:marTop w:val="0"/>
                          <w:marBottom w:val="0"/>
                          <w:divBdr>
                            <w:top w:val="none" w:sz="0" w:space="0" w:color="auto"/>
                            <w:left w:val="none" w:sz="0" w:space="0" w:color="auto"/>
                            <w:bottom w:val="none" w:sz="0" w:space="0" w:color="auto"/>
                            <w:right w:val="none" w:sz="0" w:space="0" w:color="auto"/>
                          </w:divBdr>
                          <w:divsChild>
                            <w:div w:id="256258276">
                              <w:marLeft w:val="0"/>
                              <w:marRight w:val="0"/>
                              <w:marTop w:val="0"/>
                              <w:marBottom w:val="0"/>
                              <w:divBdr>
                                <w:top w:val="none" w:sz="0" w:space="0" w:color="auto"/>
                                <w:left w:val="none" w:sz="0" w:space="0" w:color="auto"/>
                                <w:bottom w:val="none" w:sz="0" w:space="0" w:color="auto"/>
                                <w:right w:val="none" w:sz="0" w:space="0" w:color="auto"/>
                              </w:divBdr>
                              <w:divsChild>
                                <w:div w:id="945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179948">
      <w:bodyDiv w:val="1"/>
      <w:marLeft w:val="0"/>
      <w:marRight w:val="0"/>
      <w:marTop w:val="0"/>
      <w:marBottom w:val="0"/>
      <w:divBdr>
        <w:top w:val="none" w:sz="0" w:space="0" w:color="auto"/>
        <w:left w:val="none" w:sz="0" w:space="0" w:color="auto"/>
        <w:bottom w:val="none" w:sz="0" w:space="0" w:color="auto"/>
        <w:right w:val="none" w:sz="0" w:space="0" w:color="auto"/>
      </w:divBdr>
    </w:div>
    <w:div w:id="1294754340">
      <w:bodyDiv w:val="1"/>
      <w:marLeft w:val="0"/>
      <w:marRight w:val="0"/>
      <w:marTop w:val="0"/>
      <w:marBottom w:val="0"/>
      <w:divBdr>
        <w:top w:val="none" w:sz="0" w:space="0" w:color="auto"/>
        <w:left w:val="none" w:sz="0" w:space="0" w:color="auto"/>
        <w:bottom w:val="none" w:sz="0" w:space="0" w:color="auto"/>
        <w:right w:val="none" w:sz="0" w:space="0" w:color="auto"/>
      </w:divBdr>
    </w:div>
    <w:div w:id="1318420148">
      <w:bodyDiv w:val="1"/>
      <w:marLeft w:val="0"/>
      <w:marRight w:val="0"/>
      <w:marTop w:val="0"/>
      <w:marBottom w:val="0"/>
      <w:divBdr>
        <w:top w:val="none" w:sz="0" w:space="0" w:color="auto"/>
        <w:left w:val="none" w:sz="0" w:space="0" w:color="auto"/>
        <w:bottom w:val="none" w:sz="0" w:space="0" w:color="auto"/>
        <w:right w:val="none" w:sz="0" w:space="0" w:color="auto"/>
      </w:divBdr>
    </w:div>
    <w:div w:id="1334794115">
      <w:bodyDiv w:val="1"/>
      <w:marLeft w:val="0"/>
      <w:marRight w:val="0"/>
      <w:marTop w:val="0"/>
      <w:marBottom w:val="0"/>
      <w:divBdr>
        <w:top w:val="none" w:sz="0" w:space="0" w:color="auto"/>
        <w:left w:val="none" w:sz="0" w:space="0" w:color="auto"/>
        <w:bottom w:val="none" w:sz="0" w:space="0" w:color="auto"/>
        <w:right w:val="none" w:sz="0" w:space="0" w:color="auto"/>
      </w:divBdr>
    </w:div>
    <w:div w:id="1343823474">
      <w:bodyDiv w:val="1"/>
      <w:marLeft w:val="0"/>
      <w:marRight w:val="0"/>
      <w:marTop w:val="0"/>
      <w:marBottom w:val="0"/>
      <w:divBdr>
        <w:top w:val="none" w:sz="0" w:space="0" w:color="auto"/>
        <w:left w:val="none" w:sz="0" w:space="0" w:color="auto"/>
        <w:bottom w:val="none" w:sz="0" w:space="0" w:color="auto"/>
        <w:right w:val="none" w:sz="0" w:space="0" w:color="auto"/>
      </w:divBdr>
    </w:div>
    <w:div w:id="1391658436">
      <w:bodyDiv w:val="1"/>
      <w:marLeft w:val="0"/>
      <w:marRight w:val="0"/>
      <w:marTop w:val="0"/>
      <w:marBottom w:val="0"/>
      <w:divBdr>
        <w:top w:val="none" w:sz="0" w:space="0" w:color="auto"/>
        <w:left w:val="none" w:sz="0" w:space="0" w:color="auto"/>
        <w:bottom w:val="none" w:sz="0" w:space="0" w:color="auto"/>
        <w:right w:val="none" w:sz="0" w:space="0" w:color="auto"/>
      </w:divBdr>
    </w:div>
    <w:div w:id="1402751830">
      <w:bodyDiv w:val="1"/>
      <w:marLeft w:val="0"/>
      <w:marRight w:val="0"/>
      <w:marTop w:val="0"/>
      <w:marBottom w:val="0"/>
      <w:divBdr>
        <w:top w:val="none" w:sz="0" w:space="0" w:color="auto"/>
        <w:left w:val="none" w:sz="0" w:space="0" w:color="auto"/>
        <w:bottom w:val="none" w:sz="0" w:space="0" w:color="auto"/>
        <w:right w:val="none" w:sz="0" w:space="0" w:color="auto"/>
      </w:divBdr>
    </w:div>
    <w:div w:id="1421024685">
      <w:bodyDiv w:val="1"/>
      <w:marLeft w:val="0"/>
      <w:marRight w:val="0"/>
      <w:marTop w:val="0"/>
      <w:marBottom w:val="0"/>
      <w:divBdr>
        <w:top w:val="none" w:sz="0" w:space="0" w:color="auto"/>
        <w:left w:val="none" w:sz="0" w:space="0" w:color="auto"/>
        <w:bottom w:val="none" w:sz="0" w:space="0" w:color="auto"/>
        <w:right w:val="none" w:sz="0" w:space="0" w:color="auto"/>
      </w:divBdr>
    </w:div>
    <w:div w:id="1447625326">
      <w:bodyDiv w:val="1"/>
      <w:marLeft w:val="0"/>
      <w:marRight w:val="0"/>
      <w:marTop w:val="0"/>
      <w:marBottom w:val="0"/>
      <w:divBdr>
        <w:top w:val="none" w:sz="0" w:space="0" w:color="auto"/>
        <w:left w:val="none" w:sz="0" w:space="0" w:color="auto"/>
        <w:bottom w:val="none" w:sz="0" w:space="0" w:color="auto"/>
        <w:right w:val="none" w:sz="0" w:space="0" w:color="auto"/>
      </w:divBdr>
    </w:div>
    <w:div w:id="1501315858">
      <w:bodyDiv w:val="1"/>
      <w:marLeft w:val="0"/>
      <w:marRight w:val="0"/>
      <w:marTop w:val="0"/>
      <w:marBottom w:val="0"/>
      <w:divBdr>
        <w:top w:val="none" w:sz="0" w:space="0" w:color="auto"/>
        <w:left w:val="none" w:sz="0" w:space="0" w:color="auto"/>
        <w:bottom w:val="none" w:sz="0" w:space="0" w:color="auto"/>
        <w:right w:val="none" w:sz="0" w:space="0" w:color="auto"/>
      </w:divBdr>
    </w:div>
    <w:div w:id="1520387980">
      <w:bodyDiv w:val="1"/>
      <w:marLeft w:val="0"/>
      <w:marRight w:val="0"/>
      <w:marTop w:val="0"/>
      <w:marBottom w:val="0"/>
      <w:divBdr>
        <w:top w:val="none" w:sz="0" w:space="0" w:color="auto"/>
        <w:left w:val="none" w:sz="0" w:space="0" w:color="auto"/>
        <w:bottom w:val="none" w:sz="0" w:space="0" w:color="auto"/>
        <w:right w:val="none" w:sz="0" w:space="0" w:color="auto"/>
      </w:divBdr>
    </w:div>
    <w:div w:id="1558974425">
      <w:bodyDiv w:val="1"/>
      <w:marLeft w:val="0"/>
      <w:marRight w:val="0"/>
      <w:marTop w:val="0"/>
      <w:marBottom w:val="0"/>
      <w:divBdr>
        <w:top w:val="none" w:sz="0" w:space="0" w:color="auto"/>
        <w:left w:val="none" w:sz="0" w:space="0" w:color="auto"/>
        <w:bottom w:val="none" w:sz="0" w:space="0" w:color="auto"/>
        <w:right w:val="none" w:sz="0" w:space="0" w:color="auto"/>
      </w:divBdr>
    </w:div>
    <w:div w:id="1589387120">
      <w:bodyDiv w:val="1"/>
      <w:marLeft w:val="0"/>
      <w:marRight w:val="0"/>
      <w:marTop w:val="0"/>
      <w:marBottom w:val="0"/>
      <w:divBdr>
        <w:top w:val="none" w:sz="0" w:space="0" w:color="auto"/>
        <w:left w:val="none" w:sz="0" w:space="0" w:color="auto"/>
        <w:bottom w:val="none" w:sz="0" w:space="0" w:color="auto"/>
        <w:right w:val="none" w:sz="0" w:space="0" w:color="auto"/>
      </w:divBdr>
    </w:div>
    <w:div w:id="1597979720">
      <w:bodyDiv w:val="1"/>
      <w:marLeft w:val="0"/>
      <w:marRight w:val="0"/>
      <w:marTop w:val="0"/>
      <w:marBottom w:val="0"/>
      <w:divBdr>
        <w:top w:val="none" w:sz="0" w:space="0" w:color="auto"/>
        <w:left w:val="none" w:sz="0" w:space="0" w:color="auto"/>
        <w:bottom w:val="none" w:sz="0" w:space="0" w:color="auto"/>
        <w:right w:val="none" w:sz="0" w:space="0" w:color="auto"/>
      </w:divBdr>
    </w:div>
    <w:div w:id="1598714420">
      <w:bodyDiv w:val="1"/>
      <w:marLeft w:val="0"/>
      <w:marRight w:val="0"/>
      <w:marTop w:val="0"/>
      <w:marBottom w:val="0"/>
      <w:divBdr>
        <w:top w:val="none" w:sz="0" w:space="0" w:color="auto"/>
        <w:left w:val="none" w:sz="0" w:space="0" w:color="auto"/>
        <w:bottom w:val="none" w:sz="0" w:space="0" w:color="auto"/>
        <w:right w:val="none" w:sz="0" w:space="0" w:color="auto"/>
      </w:divBdr>
    </w:div>
    <w:div w:id="1602293903">
      <w:bodyDiv w:val="1"/>
      <w:marLeft w:val="0"/>
      <w:marRight w:val="0"/>
      <w:marTop w:val="0"/>
      <w:marBottom w:val="0"/>
      <w:divBdr>
        <w:top w:val="none" w:sz="0" w:space="0" w:color="auto"/>
        <w:left w:val="none" w:sz="0" w:space="0" w:color="auto"/>
        <w:bottom w:val="none" w:sz="0" w:space="0" w:color="auto"/>
        <w:right w:val="none" w:sz="0" w:space="0" w:color="auto"/>
      </w:divBdr>
    </w:div>
    <w:div w:id="1628077310">
      <w:bodyDiv w:val="1"/>
      <w:marLeft w:val="0"/>
      <w:marRight w:val="0"/>
      <w:marTop w:val="0"/>
      <w:marBottom w:val="0"/>
      <w:divBdr>
        <w:top w:val="none" w:sz="0" w:space="0" w:color="auto"/>
        <w:left w:val="none" w:sz="0" w:space="0" w:color="auto"/>
        <w:bottom w:val="none" w:sz="0" w:space="0" w:color="auto"/>
        <w:right w:val="none" w:sz="0" w:space="0" w:color="auto"/>
      </w:divBdr>
    </w:div>
    <w:div w:id="1649627321">
      <w:bodyDiv w:val="1"/>
      <w:marLeft w:val="0"/>
      <w:marRight w:val="0"/>
      <w:marTop w:val="0"/>
      <w:marBottom w:val="0"/>
      <w:divBdr>
        <w:top w:val="none" w:sz="0" w:space="0" w:color="auto"/>
        <w:left w:val="none" w:sz="0" w:space="0" w:color="auto"/>
        <w:bottom w:val="none" w:sz="0" w:space="0" w:color="auto"/>
        <w:right w:val="none" w:sz="0" w:space="0" w:color="auto"/>
      </w:divBdr>
    </w:div>
    <w:div w:id="1657028145">
      <w:bodyDiv w:val="1"/>
      <w:marLeft w:val="0"/>
      <w:marRight w:val="0"/>
      <w:marTop w:val="0"/>
      <w:marBottom w:val="0"/>
      <w:divBdr>
        <w:top w:val="none" w:sz="0" w:space="0" w:color="auto"/>
        <w:left w:val="none" w:sz="0" w:space="0" w:color="auto"/>
        <w:bottom w:val="none" w:sz="0" w:space="0" w:color="auto"/>
        <w:right w:val="none" w:sz="0" w:space="0" w:color="auto"/>
      </w:divBdr>
    </w:div>
    <w:div w:id="1666742610">
      <w:bodyDiv w:val="1"/>
      <w:marLeft w:val="0"/>
      <w:marRight w:val="0"/>
      <w:marTop w:val="0"/>
      <w:marBottom w:val="0"/>
      <w:divBdr>
        <w:top w:val="none" w:sz="0" w:space="0" w:color="auto"/>
        <w:left w:val="none" w:sz="0" w:space="0" w:color="auto"/>
        <w:bottom w:val="none" w:sz="0" w:space="0" w:color="auto"/>
        <w:right w:val="none" w:sz="0" w:space="0" w:color="auto"/>
      </w:divBdr>
    </w:div>
    <w:div w:id="1688404689">
      <w:bodyDiv w:val="1"/>
      <w:marLeft w:val="0"/>
      <w:marRight w:val="0"/>
      <w:marTop w:val="0"/>
      <w:marBottom w:val="0"/>
      <w:divBdr>
        <w:top w:val="none" w:sz="0" w:space="0" w:color="auto"/>
        <w:left w:val="none" w:sz="0" w:space="0" w:color="auto"/>
        <w:bottom w:val="none" w:sz="0" w:space="0" w:color="auto"/>
        <w:right w:val="none" w:sz="0" w:space="0" w:color="auto"/>
      </w:divBdr>
    </w:div>
    <w:div w:id="1689525618">
      <w:bodyDiv w:val="1"/>
      <w:marLeft w:val="390"/>
      <w:marRight w:val="390"/>
      <w:marTop w:val="0"/>
      <w:marBottom w:val="0"/>
      <w:divBdr>
        <w:top w:val="none" w:sz="0" w:space="0" w:color="auto"/>
        <w:left w:val="none" w:sz="0" w:space="0" w:color="auto"/>
        <w:bottom w:val="none" w:sz="0" w:space="0" w:color="auto"/>
        <w:right w:val="none" w:sz="0" w:space="0" w:color="auto"/>
      </w:divBdr>
      <w:divsChild>
        <w:div w:id="1085689547">
          <w:marLeft w:val="0"/>
          <w:marRight w:val="0"/>
          <w:marTop w:val="0"/>
          <w:marBottom w:val="0"/>
          <w:divBdr>
            <w:top w:val="none" w:sz="0" w:space="0" w:color="auto"/>
            <w:left w:val="none" w:sz="0" w:space="0" w:color="auto"/>
            <w:bottom w:val="none" w:sz="0" w:space="0" w:color="auto"/>
            <w:right w:val="none" w:sz="0" w:space="0" w:color="auto"/>
          </w:divBdr>
          <w:divsChild>
            <w:div w:id="1464887755">
              <w:marLeft w:val="0"/>
              <w:marRight w:val="0"/>
              <w:marTop w:val="0"/>
              <w:marBottom w:val="0"/>
              <w:divBdr>
                <w:top w:val="none" w:sz="0" w:space="0" w:color="auto"/>
                <w:left w:val="none" w:sz="0" w:space="0" w:color="auto"/>
                <w:bottom w:val="none" w:sz="0" w:space="0" w:color="auto"/>
                <w:right w:val="none" w:sz="0" w:space="0" w:color="auto"/>
              </w:divBdr>
              <w:divsChild>
                <w:div w:id="941107889">
                  <w:marLeft w:val="-150"/>
                  <w:marRight w:val="-150"/>
                  <w:marTop w:val="0"/>
                  <w:marBottom w:val="0"/>
                  <w:divBdr>
                    <w:top w:val="none" w:sz="0" w:space="0" w:color="auto"/>
                    <w:left w:val="none" w:sz="0" w:space="0" w:color="auto"/>
                    <w:bottom w:val="none" w:sz="0" w:space="0" w:color="auto"/>
                    <w:right w:val="none" w:sz="0" w:space="0" w:color="auto"/>
                  </w:divBdr>
                  <w:divsChild>
                    <w:div w:id="1735008403">
                      <w:marLeft w:val="0"/>
                      <w:marRight w:val="0"/>
                      <w:marTop w:val="0"/>
                      <w:marBottom w:val="0"/>
                      <w:divBdr>
                        <w:top w:val="none" w:sz="0" w:space="0" w:color="auto"/>
                        <w:left w:val="none" w:sz="0" w:space="0" w:color="auto"/>
                        <w:bottom w:val="none" w:sz="0" w:space="0" w:color="auto"/>
                        <w:right w:val="none" w:sz="0" w:space="0" w:color="auto"/>
                      </w:divBdr>
                      <w:divsChild>
                        <w:div w:id="730233837">
                          <w:marLeft w:val="0"/>
                          <w:marRight w:val="0"/>
                          <w:marTop w:val="0"/>
                          <w:marBottom w:val="0"/>
                          <w:divBdr>
                            <w:top w:val="none" w:sz="0" w:space="0" w:color="auto"/>
                            <w:left w:val="none" w:sz="0" w:space="0" w:color="auto"/>
                            <w:bottom w:val="none" w:sz="0" w:space="0" w:color="auto"/>
                            <w:right w:val="none" w:sz="0" w:space="0" w:color="auto"/>
                          </w:divBdr>
                          <w:divsChild>
                            <w:div w:id="1185092504">
                              <w:marLeft w:val="0"/>
                              <w:marRight w:val="0"/>
                              <w:marTop w:val="0"/>
                              <w:marBottom w:val="0"/>
                              <w:divBdr>
                                <w:top w:val="none" w:sz="0" w:space="0" w:color="auto"/>
                                <w:left w:val="none" w:sz="0" w:space="0" w:color="auto"/>
                                <w:bottom w:val="none" w:sz="0" w:space="0" w:color="auto"/>
                                <w:right w:val="none" w:sz="0" w:space="0" w:color="auto"/>
                              </w:divBdr>
                              <w:divsChild>
                                <w:div w:id="8291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754699">
      <w:bodyDiv w:val="1"/>
      <w:marLeft w:val="0"/>
      <w:marRight w:val="0"/>
      <w:marTop w:val="0"/>
      <w:marBottom w:val="0"/>
      <w:divBdr>
        <w:top w:val="none" w:sz="0" w:space="0" w:color="auto"/>
        <w:left w:val="none" w:sz="0" w:space="0" w:color="auto"/>
        <w:bottom w:val="none" w:sz="0" w:space="0" w:color="auto"/>
        <w:right w:val="none" w:sz="0" w:space="0" w:color="auto"/>
      </w:divBdr>
    </w:div>
    <w:div w:id="1763642994">
      <w:bodyDiv w:val="1"/>
      <w:marLeft w:val="0"/>
      <w:marRight w:val="0"/>
      <w:marTop w:val="0"/>
      <w:marBottom w:val="0"/>
      <w:divBdr>
        <w:top w:val="none" w:sz="0" w:space="0" w:color="auto"/>
        <w:left w:val="none" w:sz="0" w:space="0" w:color="auto"/>
        <w:bottom w:val="none" w:sz="0" w:space="0" w:color="auto"/>
        <w:right w:val="none" w:sz="0" w:space="0" w:color="auto"/>
      </w:divBdr>
    </w:div>
    <w:div w:id="1789811467">
      <w:bodyDiv w:val="1"/>
      <w:marLeft w:val="0"/>
      <w:marRight w:val="0"/>
      <w:marTop w:val="0"/>
      <w:marBottom w:val="0"/>
      <w:divBdr>
        <w:top w:val="none" w:sz="0" w:space="0" w:color="auto"/>
        <w:left w:val="none" w:sz="0" w:space="0" w:color="auto"/>
        <w:bottom w:val="none" w:sz="0" w:space="0" w:color="auto"/>
        <w:right w:val="none" w:sz="0" w:space="0" w:color="auto"/>
      </w:divBdr>
    </w:div>
    <w:div w:id="1817793942">
      <w:bodyDiv w:val="1"/>
      <w:marLeft w:val="0"/>
      <w:marRight w:val="0"/>
      <w:marTop w:val="0"/>
      <w:marBottom w:val="0"/>
      <w:divBdr>
        <w:top w:val="none" w:sz="0" w:space="0" w:color="auto"/>
        <w:left w:val="none" w:sz="0" w:space="0" w:color="auto"/>
        <w:bottom w:val="none" w:sz="0" w:space="0" w:color="auto"/>
        <w:right w:val="none" w:sz="0" w:space="0" w:color="auto"/>
      </w:divBdr>
    </w:div>
    <w:div w:id="1861510530">
      <w:bodyDiv w:val="1"/>
      <w:marLeft w:val="0"/>
      <w:marRight w:val="0"/>
      <w:marTop w:val="0"/>
      <w:marBottom w:val="0"/>
      <w:divBdr>
        <w:top w:val="none" w:sz="0" w:space="0" w:color="auto"/>
        <w:left w:val="none" w:sz="0" w:space="0" w:color="auto"/>
        <w:bottom w:val="none" w:sz="0" w:space="0" w:color="auto"/>
        <w:right w:val="none" w:sz="0" w:space="0" w:color="auto"/>
      </w:divBdr>
    </w:div>
    <w:div w:id="1868060443">
      <w:bodyDiv w:val="1"/>
      <w:marLeft w:val="0"/>
      <w:marRight w:val="0"/>
      <w:marTop w:val="0"/>
      <w:marBottom w:val="0"/>
      <w:divBdr>
        <w:top w:val="none" w:sz="0" w:space="0" w:color="auto"/>
        <w:left w:val="none" w:sz="0" w:space="0" w:color="auto"/>
        <w:bottom w:val="none" w:sz="0" w:space="0" w:color="auto"/>
        <w:right w:val="none" w:sz="0" w:space="0" w:color="auto"/>
      </w:divBdr>
    </w:div>
    <w:div w:id="1877351407">
      <w:bodyDiv w:val="1"/>
      <w:marLeft w:val="0"/>
      <w:marRight w:val="0"/>
      <w:marTop w:val="0"/>
      <w:marBottom w:val="0"/>
      <w:divBdr>
        <w:top w:val="none" w:sz="0" w:space="0" w:color="auto"/>
        <w:left w:val="none" w:sz="0" w:space="0" w:color="auto"/>
        <w:bottom w:val="none" w:sz="0" w:space="0" w:color="auto"/>
        <w:right w:val="none" w:sz="0" w:space="0" w:color="auto"/>
      </w:divBdr>
    </w:div>
    <w:div w:id="1880823084">
      <w:bodyDiv w:val="1"/>
      <w:marLeft w:val="0"/>
      <w:marRight w:val="0"/>
      <w:marTop w:val="0"/>
      <w:marBottom w:val="0"/>
      <w:divBdr>
        <w:top w:val="none" w:sz="0" w:space="0" w:color="auto"/>
        <w:left w:val="none" w:sz="0" w:space="0" w:color="auto"/>
        <w:bottom w:val="none" w:sz="0" w:space="0" w:color="auto"/>
        <w:right w:val="none" w:sz="0" w:space="0" w:color="auto"/>
      </w:divBdr>
    </w:div>
    <w:div w:id="1883520369">
      <w:bodyDiv w:val="1"/>
      <w:marLeft w:val="0"/>
      <w:marRight w:val="0"/>
      <w:marTop w:val="0"/>
      <w:marBottom w:val="0"/>
      <w:divBdr>
        <w:top w:val="none" w:sz="0" w:space="0" w:color="auto"/>
        <w:left w:val="none" w:sz="0" w:space="0" w:color="auto"/>
        <w:bottom w:val="none" w:sz="0" w:space="0" w:color="auto"/>
        <w:right w:val="none" w:sz="0" w:space="0" w:color="auto"/>
      </w:divBdr>
      <w:divsChild>
        <w:div w:id="1474521538">
          <w:marLeft w:val="0"/>
          <w:marRight w:val="0"/>
          <w:marTop w:val="0"/>
          <w:marBottom w:val="0"/>
          <w:divBdr>
            <w:top w:val="none" w:sz="0" w:space="0" w:color="auto"/>
            <w:left w:val="none" w:sz="0" w:space="0" w:color="auto"/>
            <w:bottom w:val="none" w:sz="0" w:space="0" w:color="auto"/>
            <w:right w:val="none" w:sz="0" w:space="0" w:color="auto"/>
          </w:divBdr>
        </w:div>
      </w:divsChild>
    </w:div>
    <w:div w:id="1896618581">
      <w:bodyDiv w:val="1"/>
      <w:marLeft w:val="0"/>
      <w:marRight w:val="0"/>
      <w:marTop w:val="0"/>
      <w:marBottom w:val="0"/>
      <w:divBdr>
        <w:top w:val="none" w:sz="0" w:space="0" w:color="auto"/>
        <w:left w:val="none" w:sz="0" w:space="0" w:color="auto"/>
        <w:bottom w:val="none" w:sz="0" w:space="0" w:color="auto"/>
        <w:right w:val="none" w:sz="0" w:space="0" w:color="auto"/>
      </w:divBdr>
      <w:divsChild>
        <w:div w:id="1190949278">
          <w:marLeft w:val="0"/>
          <w:marRight w:val="0"/>
          <w:marTop w:val="0"/>
          <w:marBottom w:val="0"/>
          <w:divBdr>
            <w:top w:val="none" w:sz="0" w:space="0" w:color="auto"/>
            <w:left w:val="none" w:sz="0" w:space="0" w:color="auto"/>
            <w:bottom w:val="none" w:sz="0" w:space="0" w:color="auto"/>
            <w:right w:val="none" w:sz="0" w:space="0" w:color="auto"/>
          </w:divBdr>
          <w:divsChild>
            <w:div w:id="439689897">
              <w:marLeft w:val="0"/>
              <w:marRight w:val="0"/>
              <w:marTop w:val="0"/>
              <w:marBottom w:val="0"/>
              <w:divBdr>
                <w:top w:val="none" w:sz="0" w:space="0" w:color="auto"/>
                <w:left w:val="none" w:sz="0" w:space="0" w:color="auto"/>
                <w:bottom w:val="none" w:sz="0" w:space="0" w:color="auto"/>
                <w:right w:val="none" w:sz="0" w:space="0" w:color="auto"/>
              </w:divBdr>
              <w:divsChild>
                <w:div w:id="1846938018">
                  <w:marLeft w:val="0"/>
                  <w:marRight w:val="0"/>
                  <w:marTop w:val="0"/>
                  <w:marBottom w:val="0"/>
                  <w:divBdr>
                    <w:top w:val="none" w:sz="0" w:space="0" w:color="auto"/>
                    <w:left w:val="none" w:sz="0" w:space="0" w:color="auto"/>
                    <w:bottom w:val="none" w:sz="0" w:space="0" w:color="auto"/>
                    <w:right w:val="none" w:sz="0" w:space="0" w:color="auto"/>
                  </w:divBdr>
                  <w:divsChild>
                    <w:div w:id="1178038229">
                      <w:marLeft w:val="0"/>
                      <w:marRight w:val="0"/>
                      <w:marTop w:val="0"/>
                      <w:marBottom w:val="0"/>
                      <w:divBdr>
                        <w:top w:val="none" w:sz="0" w:space="0" w:color="auto"/>
                        <w:left w:val="none" w:sz="0" w:space="0" w:color="auto"/>
                        <w:bottom w:val="none" w:sz="0" w:space="0" w:color="auto"/>
                        <w:right w:val="none" w:sz="0" w:space="0" w:color="auto"/>
                      </w:divBdr>
                      <w:divsChild>
                        <w:div w:id="579874654">
                          <w:marLeft w:val="0"/>
                          <w:marRight w:val="0"/>
                          <w:marTop w:val="0"/>
                          <w:marBottom w:val="0"/>
                          <w:divBdr>
                            <w:top w:val="none" w:sz="0" w:space="0" w:color="auto"/>
                            <w:left w:val="none" w:sz="0" w:space="0" w:color="auto"/>
                            <w:bottom w:val="none" w:sz="0" w:space="0" w:color="auto"/>
                            <w:right w:val="none" w:sz="0" w:space="0" w:color="auto"/>
                          </w:divBdr>
                          <w:divsChild>
                            <w:div w:id="1443375661">
                              <w:marLeft w:val="0"/>
                              <w:marRight w:val="0"/>
                              <w:marTop w:val="0"/>
                              <w:marBottom w:val="0"/>
                              <w:divBdr>
                                <w:top w:val="none" w:sz="0" w:space="0" w:color="auto"/>
                                <w:left w:val="none" w:sz="0" w:space="0" w:color="auto"/>
                                <w:bottom w:val="none" w:sz="0" w:space="0" w:color="auto"/>
                                <w:right w:val="none" w:sz="0" w:space="0" w:color="auto"/>
                              </w:divBdr>
                              <w:divsChild>
                                <w:div w:id="1677222484">
                                  <w:marLeft w:val="0"/>
                                  <w:marRight w:val="0"/>
                                  <w:marTop w:val="0"/>
                                  <w:marBottom w:val="0"/>
                                  <w:divBdr>
                                    <w:top w:val="none" w:sz="0" w:space="0" w:color="auto"/>
                                    <w:left w:val="none" w:sz="0" w:space="0" w:color="auto"/>
                                    <w:bottom w:val="none" w:sz="0" w:space="0" w:color="auto"/>
                                    <w:right w:val="none" w:sz="0" w:space="0" w:color="auto"/>
                                  </w:divBdr>
                                  <w:divsChild>
                                    <w:div w:id="572665471">
                                      <w:marLeft w:val="0"/>
                                      <w:marRight w:val="0"/>
                                      <w:marTop w:val="0"/>
                                      <w:marBottom w:val="0"/>
                                      <w:divBdr>
                                        <w:top w:val="none" w:sz="0" w:space="0" w:color="auto"/>
                                        <w:left w:val="none" w:sz="0" w:space="0" w:color="auto"/>
                                        <w:bottom w:val="none" w:sz="0" w:space="0" w:color="auto"/>
                                        <w:right w:val="none" w:sz="0" w:space="0" w:color="auto"/>
                                      </w:divBdr>
                                      <w:divsChild>
                                        <w:div w:id="1491212898">
                                          <w:marLeft w:val="0"/>
                                          <w:marRight w:val="0"/>
                                          <w:marTop w:val="0"/>
                                          <w:marBottom w:val="0"/>
                                          <w:divBdr>
                                            <w:top w:val="none" w:sz="0" w:space="0" w:color="auto"/>
                                            <w:left w:val="none" w:sz="0" w:space="0" w:color="auto"/>
                                            <w:bottom w:val="none" w:sz="0" w:space="0" w:color="auto"/>
                                            <w:right w:val="none" w:sz="0" w:space="0" w:color="auto"/>
                                          </w:divBdr>
                                          <w:divsChild>
                                            <w:div w:id="336660923">
                                              <w:marLeft w:val="0"/>
                                              <w:marRight w:val="0"/>
                                              <w:marTop w:val="0"/>
                                              <w:marBottom w:val="0"/>
                                              <w:divBdr>
                                                <w:top w:val="none" w:sz="0" w:space="0" w:color="auto"/>
                                                <w:left w:val="none" w:sz="0" w:space="0" w:color="auto"/>
                                                <w:bottom w:val="none" w:sz="0" w:space="0" w:color="auto"/>
                                                <w:right w:val="none" w:sz="0" w:space="0" w:color="auto"/>
                                              </w:divBdr>
                                              <w:divsChild>
                                                <w:div w:id="1257636107">
                                                  <w:marLeft w:val="0"/>
                                                  <w:marRight w:val="0"/>
                                                  <w:marTop w:val="0"/>
                                                  <w:marBottom w:val="0"/>
                                                  <w:divBdr>
                                                    <w:top w:val="none" w:sz="0" w:space="0" w:color="auto"/>
                                                    <w:left w:val="none" w:sz="0" w:space="0" w:color="auto"/>
                                                    <w:bottom w:val="none" w:sz="0" w:space="0" w:color="auto"/>
                                                    <w:right w:val="none" w:sz="0" w:space="0" w:color="auto"/>
                                                  </w:divBdr>
                                                  <w:divsChild>
                                                    <w:div w:id="339430420">
                                                      <w:marLeft w:val="0"/>
                                                      <w:marRight w:val="0"/>
                                                      <w:marTop w:val="0"/>
                                                      <w:marBottom w:val="0"/>
                                                      <w:divBdr>
                                                        <w:top w:val="none" w:sz="0" w:space="0" w:color="auto"/>
                                                        <w:left w:val="none" w:sz="0" w:space="0" w:color="auto"/>
                                                        <w:bottom w:val="none" w:sz="0" w:space="0" w:color="auto"/>
                                                        <w:right w:val="none" w:sz="0" w:space="0" w:color="auto"/>
                                                      </w:divBdr>
                                                      <w:divsChild>
                                                        <w:div w:id="506484285">
                                                          <w:marLeft w:val="0"/>
                                                          <w:marRight w:val="0"/>
                                                          <w:marTop w:val="0"/>
                                                          <w:marBottom w:val="0"/>
                                                          <w:divBdr>
                                                            <w:top w:val="none" w:sz="0" w:space="0" w:color="auto"/>
                                                            <w:left w:val="none" w:sz="0" w:space="0" w:color="auto"/>
                                                            <w:bottom w:val="none" w:sz="0" w:space="0" w:color="auto"/>
                                                            <w:right w:val="none" w:sz="0" w:space="0" w:color="auto"/>
                                                          </w:divBdr>
                                                          <w:divsChild>
                                                            <w:div w:id="465240238">
                                                              <w:marLeft w:val="0"/>
                                                              <w:marRight w:val="0"/>
                                                              <w:marTop w:val="0"/>
                                                              <w:marBottom w:val="0"/>
                                                              <w:divBdr>
                                                                <w:top w:val="none" w:sz="0" w:space="0" w:color="auto"/>
                                                                <w:left w:val="none" w:sz="0" w:space="0" w:color="auto"/>
                                                                <w:bottom w:val="none" w:sz="0" w:space="0" w:color="auto"/>
                                                                <w:right w:val="none" w:sz="0" w:space="0" w:color="auto"/>
                                                              </w:divBdr>
                                                              <w:divsChild>
                                                                <w:div w:id="1648850920">
                                                                  <w:marLeft w:val="0"/>
                                                                  <w:marRight w:val="0"/>
                                                                  <w:marTop w:val="0"/>
                                                                  <w:marBottom w:val="0"/>
                                                                  <w:divBdr>
                                                                    <w:top w:val="none" w:sz="0" w:space="0" w:color="auto"/>
                                                                    <w:left w:val="none" w:sz="0" w:space="0" w:color="auto"/>
                                                                    <w:bottom w:val="none" w:sz="0" w:space="0" w:color="auto"/>
                                                                    <w:right w:val="none" w:sz="0" w:space="0" w:color="auto"/>
                                                                  </w:divBdr>
                                                                  <w:divsChild>
                                                                    <w:div w:id="1393847616">
                                                                      <w:marLeft w:val="0"/>
                                                                      <w:marRight w:val="0"/>
                                                                      <w:marTop w:val="0"/>
                                                                      <w:marBottom w:val="0"/>
                                                                      <w:divBdr>
                                                                        <w:top w:val="none" w:sz="0" w:space="0" w:color="auto"/>
                                                                        <w:left w:val="none" w:sz="0" w:space="0" w:color="auto"/>
                                                                        <w:bottom w:val="none" w:sz="0" w:space="0" w:color="auto"/>
                                                                        <w:right w:val="none" w:sz="0" w:space="0" w:color="auto"/>
                                                                      </w:divBdr>
                                                                      <w:divsChild>
                                                                        <w:div w:id="181894775">
                                                                          <w:marLeft w:val="0"/>
                                                                          <w:marRight w:val="0"/>
                                                                          <w:marTop w:val="0"/>
                                                                          <w:marBottom w:val="0"/>
                                                                          <w:divBdr>
                                                                            <w:top w:val="none" w:sz="0" w:space="0" w:color="auto"/>
                                                                            <w:left w:val="none" w:sz="0" w:space="0" w:color="auto"/>
                                                                            <w:bottom w:val="none" w:sz="0" w:space="0" w:color="auto"/>
                                                                            <w:right w:val="none" w:sz="0" w:space="0" w:color="auto"/>
                                                                          </w:divBdr>
                                                                          <w:divsChild>
                                                                            <w:div w:id="710813055">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sChild>
                                                                                    <w:div w:id="2045519660">
                                                                                      <w:marLeft w:val="0"/>
                                                                                      <w:marRight w:val="0"/>
                                                                                      <w:marTop w:val="0"/>
                                                                                      <w:marBottom w:val="0"/>
                                                                                      <w:divBdr>
                                                                                        <w:top w:val="none" w:sz="0" w:space="0" w:color="auto"/>
                                                                                        <w:left w:val="none" w:sz="0" w:space="0" w:color="auto"/>
                                                                                        <w:bottom w:val="none" w:sz="0" w:space="0" w:color="auto"/>
                                                                                        <w:right w:val="none" w:sz="0" w:space="0" w:color="auto"/>
                                                                                      </w:divBdr>
                                                                                      <w:divsChild>
                                                                                        <w:div w:id="873617988">
                                                                                          <w:marLeft w:val="0"/>
                                                                                          <w:marRight w:val="0"/>
                                                                                          <w:marTop w:val="0"/>
                                                                                          <w:marBottom w:val="0"/>
                                                                                          <w:divBdr>
                                                                                            <w:top w:val="none" w:sz="0" w:space="0" w:color="auto"/>
                                                                                            <w:left w:val="none" w:sz="0" w:space="0" w:color="auto"/>
                                                                                            <w:bottom w:val="none" w:sz="0" w:space="0" w:color="auto"/>
                                                                                            <w:right w:val="none" w:sz="0" w:space="0" w:color="auto"/>
                                                                                          </w:divBdr>
                                                                                          <w:divsChild>
                                                                                            <w:div w:id="500200788">
                                                                                              <w:marLeft w:val="0"/>
                                                                                              <w:marRight w:val="0"/>
                                                                                              <w:marTop w:val="0"/>
                                                                                              <w:marBottom w:val="0"/>
                                                                                              <w:divBdr>
                                                                                                <w:top w:val="none" w:sz="0" w:space="0" w:color="auto"/>
                                                                                                <w:left w:val="none" w:sz="0" w:space="0" w:color="auto"/>
                                                                                                <w:bottom w:val="none" w:sz="0" w:space="0" w:color="auto"/>
                                                                                                <w:right w:val="none" w:sz="0" w:space="0" w:color="auto"/>
                                                                                              </w:divBdr>
                                                                                              <w:divsChild>
                                                                                                <w:div w:id="106195819">
                                                                                                  <w:marLeft w:val="0"/>
                                                                                                  <w:marRight w:val="0"/>
                                                                                                  <w:marTop w:val="0"/>
                                                                                                  <w:marBottom w:val="0"/>
                                                                                                  <w:divBdr>
                                                                                                    <w:top w:val="none" w:sz="0" w:space="0" w:color="auto"/>
                                                                                                    <w:left w:val="none" w:sz="0" w:space="0" w:color="auto"/>
                                                                                                    <w:bottom w:val="none" w:sz="0" w:space="0" w:color="auto"/>
                                                                                                    <w:right w:val="none" w:sz="0" w:space="0" w:color="auto"/>
                                                                                                  </w:divBdr>
                                                                                                  <w:divsChild>
                                                                                                    <w:div w:id="703405542">
                                                                                                      <w:marLeft w:val="150"/>
                                                                                                      <w:marRight w:val="0"/>
                                                                                                      <w:marTop w:val="0"/>
                                                                                                      <w:marBottom w:val="0"/>
                                                                                                      <w:divBdr>
                                                                                                        <w:top w:val="none" w:sz="0" w:space="0" w:color="auto"/>
                                                                                                        <w:left w:val="none" w:sz="0" w:space="0" w:color="auto"/>
                                                                                                        <w:bottom w:val="none" w:sz="0" w:space="0" w:color="auto"/>
                                                                                                        <w:right w:val="none" w:sz="0" w:space="0" w:color="auto"/>
                                                                                                      </w:divBdr>
                                                                                                      <w:divsChild>
                                                                                                        <w:div w:id="334192604">
                                                                                                          <w:marLeft w:val="0"/>
                                                                                                          <w:marRight w:val="0"/>
                                                                                                          <w:marTop w:val="0"/>
                                                                                                          <w:marBottom w:val="0"/>
                                                                                                          <w:divBdr>
                                                                                                            <w:top w:val="none" w:sz="0" w:space="0" w:color="auto"/>
                                                                                                            <w:left w:val="none" w:sz="0" w:space="0" w:color="auto"/>
                                                                                                            <w:bottom w:val="none" w:sz="0" w:space="0" w:color="auto"/>
                                                                                                            <w:right w:val="none" w:sz="0" w:space="0" w:color="auto"/>
                                                                                                          </w:divBdr>
                                                                                                          <w:divsChild>
                                                                                                            <w:div w:id="303195974">
                                                                                                              <w:marLeft w:val="0"/>
                                                                                                              <w:marRight w:val="0"/>
                                                                                                              <w:marTop w:val="0"/>
                                                                                                              <w:marBottom w:val="0"/>
                                                                                                              <w:divBdr>
                                                                                                                <w:top w:val="none" w:sz="0" w:space="0" w:color="auto"/>
                                                                                                                <w:left w:val="none" w:sz="0" w:space="0" w:color="auto"/>
                                                                                                                <w:bottom w:val="none" w:sz="0" w:space="0" w:color="auto"/>
                                                                                                                <w:right w:val="none" w:sz="0" w:space="0" w:color="auto"/>
                                                                                                              </w:divBdr>
                                                                                                              <w:divsChild>
                                                                                                                <w:div w:id="115026300">
                                                                                                                  <w:marLeft w:val="0"/>
                                                                                                                  <w:marRight w:val="0"/>
                                                                                                                  <w:marTop w:val="0"/>
                                                                                                                  <w:marBottom w:val="0"/>
                                                                                                                  <w:divBdr>
                                                                                                                    <w:top w:val="none" w:sz="0" w:space="0" w:color="auto"/>
                                                                                                                    <w:left w:val="none" w:sz="0" w:space="0" w:color="auto"/>
                                                                                                                    <w:bottom w:val="none" w:sz="0" w:space="0" w:color="auto"/>
                                                                                                                    <w:right w:val="none" w:sz="0" w:space="0" w:color="auto"/>
                                                                                                                  </w:divBdr>
                                                                                                                  <w:divsChild>
                                                                                                                    <w:div w:id="528956530">
                                                                                                                      <w:marLeft w:val="150"/>
                                                                                                                      <w:marRight w:val="0"/>
                                                                                                                      <w:marTop w:val="0"/>
                                                                                                                      <w:marBottom w:val="0"/>
                                                                                                                      <w:divBdr>
                                                                                                                        <w:top w:val="none" w:sz="0" w:space="0" w:color="auto"/>
                                                                                                                        <w:left w:val="none" w:sz="0" w:space="0" w:color="auto"/>
                                                                                                                        <w:bottom w:val="none" w:sz="0" w:space="0" w:color="auto"/>
                                                                                                                        <w:right w:val="none" w:sz="0" w:space="0" w:color="auto"/>
                                                                                                                      </w:divBdr>
                                                                                                                      <w:divsChild>
                                                                                                                        <w:div w:id="727338781">
                                                                                                                          <w:marLeft w:val="0"/>
                                                                                                                          <w:marRight w:val="0"/>
                                                                                                                          <w:marTop w:val="0"/>
                                                                                                                          <w:marBottom w:val="0"/>
                                                                                                                          <w:divBdr>
                                                                                                                            <w:top w:val="none" w:sz="0" w:space="0" w:color="auto"/>
                                                                                                                            <w:left w:val="none" w:sz="0" w:space="0" w:color="auto"/>
                                                                                                                            <w:bottom w:val="none" w:sz="0" w:space="0" w:color="auto"/>
                                                                                                                            <w:right w:val="none" w:sz="0" w:space="0" w:color="auto"/>
                                                                                                                          </w:divBdr>
                                                                                                                          <w:divsChild>
                                                                                                                            <w:div w:id="922953725">
                                                                                                                              <w:marLeft w:val="0"/>
                                                                                                                              <w:marRight w:val="0"/>
                                                                                                                              <w:marTop w:val="0"/>
                                                                                                                              <w:marBottom w:val="0"/>
                                                                                                                              <w:divBdr>
                                                                                                                                <w:top w:val="none" w:sz="0" w:space="0" w:color="auto"/>
                                                                                                                                <w:left w:val="none" w:sz="0" w:space="0" w:color="auto"/>
                                                                                                                                <w:bottom w:val="none" w:sz="0" w:space="0" w:color="auto"/>
                                                                                                                                <w:right w:val="none" w:sz="0" w:space="0" w:color="auto"/>
                                                                                                                              </w:divBdr>
                                                                                                                              <w:divsChild>
                                                                                                                                <w:div w:id="86997609">
                                                                                                                                  <w:marLeft w:val="0"/>
                                                                                                                                  <w:marRight w:val="0"/>
                                                                                                                                  <w:marTop w:val="0"/>
                                                                                                                                  <w:marBottom w:val="0"/>
                                                                                                                                  <w:divBdr>
                                                                                                                                    <w:top w:val="none" w:sz="0" w:space="0" w:color="auto"/>
                                                                                                                                    <w:left w:val="none" w:sz="0" w:space="0" w:color="auto"/>
                                                                                                                                    <w:bottom w:val="none" w:sz="0" w:space="0" w:color="auto"/>
                                                                                                                                    <w:right w:val="none" w:sz="0" w:space="0" w:color="auto"/>
                                                                                                                                  </w:divBdr>
                                                                                                                                  <w:divsChild>
                                                                                                                                    <w:div w:id="1054936525">
                                                                                                                                      <w:marLeft w:val="0"/>
                                                                                                                                      <w:marRight w:val="0"/>
                                                                                                                                      <w:marTop w:val="0"/>
                                                                                                                                      <w:marBottom w:val="0"/>
                                                                                                                                      <w:divBdr>
                                                                                                                                        <w:top w:val="none" w:sz="0" w:space="0" w:color="auto"/>
                                                                                                                                        <w:left w:val="none" w:sz="0" w:space="0" w:color="auto"/>
                                                                                                                                        <w:bottom w:val="none" w:sz="0" w:space="0" w:color="auto"/>
                                                                                                                                        <w:right w:val="none" w:sz="0" w:space="0" w:color="auto"/>
                                                                                                                                      </w:divBdr>
                                                                                                                                      <w:divsChild>
                                                                                                                                        <w:div w:id="745225388">
                                                                                                                                          <w:marLeft w:val="0"/>
                                                                                                                                          <w:marRight w:val="0"/>
                                                                                                                                          <w:marTop w:val="0"/>
                                                                                                                                          <w:marBottom w:val="0"/>
                                                                                                                                          <w:divBdr>
                                                                                                                                            <w:top w:val="none" w:sz="0" w:space="0" w:color="auto"/>
                                                                                                                                            <w:left w:val="none" w:sz="0" w:space="0" w:color="auto"/>
                                                                                                                                            <w:bottom w:val="none" w:sz="0" w:space="0" w:color="auto"/>
                                                                                                                                            <w:right w:val="none" w:sz="0" w:space="0" w:color="auto"/>
                                                                                                                                          </w:divBdr>
                                                                                                                                          <w:divsChild>
                                                                                                                                            <w:div w:id="11640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357401">
      <w:bodyDiv w:val="1"/>
      <w:marLeft w:val="0"/>
      <w:marRight w:val="0"/>
      <w:marTop w:val="0"/>
      <w:marBottom w:val="0"/>
      <w:divBdr>
        <w:top w:val="none" w:sz="0" w:space="0" w:color="auto"/>
        <w:left w:val="none" w:sz="0" w:space="0" w:color="auto"/>
        <w:bottom w:val="none" w:sz="0" w:space="0" w:color="auto"/>
        <w:right w:val="none" w:sz="0" w:space="0" w:color="auto"/>
      </w:divBdr>
    </w:div>
    <w:div w:id="1962371280">
      <w:bodyDiv w:val="1"/>
      <w:marLeft w:val="0"/>
      <w:marRight w:val="0"/>
      <w:marTop w:val="0"/>
      <w:marBottom w:val="0"/>
      <w:divBdr>
        <w:top w:val="none" w:sz="0" w:space="0" w:color="auto"/>
        <w:left w:val="none" w:sz="0" w:space="0" w:color="auto"/>
        <w:bottom w:val="none" w:sz="0" w:space="0" w:color="auto"/>
        <w:right w:val="none" w:sz="0" w:space="0" w:color="auto"/>
      </w:divBdr>
    </w:div>
    <w:div w:id="1966351983">
      <w:bodyDiv w:val="1"/>
      <w:marLeft w:val="0"/>
      <w:marRight w:val="0"/>
      <w:marTop w:val="0"/>
      <w:marBottom w:val="0"/>
      <w:divBdr>
        <w:top w:val="none" w:sz="0" w:space="0" w:color="auto"/>
        <w:left w:val="none" w:sz="0" w:space="0" w:color="auto"/>
        <w:bottom w:val="none" w:sz="0" w:space="0" w:color="auto"/>
        <w:right w:val="none" w:sz="0" w:space="0" w:color="auto"/>
      </w:divBdr>
      <w:divsChild>
        <w:div w:id="542982745">
          <w:marLeft w:val="0"/>
          <w:marRight w:val="0"/>
          <w:marTop w:val="0"/>
          <w:marBottom w:val="0"/>
          <w:divBdr>
            <w:top w:val="none" w:sz="0" w:space="0" w:color="auto"/>
            <w:left w:val="none" w:sz="0" w:space="0" w:color="auto"/>
            <w:bottom w:val="none" w:sz="0" w:space="0" w:color="auto"/>
            <w:right w:val="none" w:sz="0" w:space="0" w:color="auto"/>
          </w:divBdr>
        </w:div>
      </w:divsChild>
    </w:div>
    <w:div w:id="1966738406">
      <w:bodyDiv w:val="1"/>
      <w:marLeft w:val="0"/>
      <w:marRight w:val="0"/>
      <w:marTop w:val="0"/>
      <w:marBottom w:val="0"/>
      <w:divBdr>
        <w:top w:val="none" w:sz="0" w:space="0" w:color="auto"/>
        <w:left w:val="none" w:sz="0" w:space="0" w:color="auto"/>
        <w:bottom w:val="none" w:sz="0" w:space="0" w:color="auto"/>
        <w:right w:val="none" w:sz="0" w:space="0" w:color="auto"/>
      </w:divBdr>
    </w:div>
    <w:div w:id="1984847900">
      <w:bodyDiv w:val="1"/>
      <w:marLeft w:val="0"/>
      <w:marRight w:val="0"/>
      <w:marTop w:val="0"/>
      <w:marBottom w:val="0"/>
      <w:divBdr>
        <w:top w:val="none" w:sz="0" w:space="0" w:color="auto"/>
        <w:left w:val="none" w:sz="0" w:space="0" w:color="auto"/>
        <w:bottom w:val="none" w:sz="0" w:space="0" w:color="auto"/>
        <w:right w:val="none" w:sz="0" w:space="0" w:color="auto"/>
      </w:divBdr>
    </w:div>
    <w:div w:id="2000846837">
      <w:bodyDiv w:val="1"/>
      <w:marLeft w:val="0"/>
      <w:marRight w:val="0"/>
      <w:marTop w:val="0"/>
      <w:marBottom w:val="0"/>
      <w:divBdr>
        <w:top w:val="none" w:sz="0" w:space="0" w:color="auto"/>
        <w:left w:val="none" w:sz="0" w:space="0" w:color="auto"/>
        <w:bottom w:val="none" w:sz="0" w:space="0" w:color="auto"/>
        <w:right w:val="none" w:sz="0" w:space="0" w:color="auto"/>
      </w:divBdr>
    </w:div>
    <w:div w:id="2003459468">
      <w:bodyDiv w:val="1"/>
      <w:marLeft w:val="0"/>
      <w:marRight w:val="0"/>
      <w:marTop w:val="0"/>
      <w:marBottom w:val="0"/>
      <w:divBdr>
        <w:top w:val="none" w:sz="0" w:space="0" w:color="auto"/>
        <w:left w:val="none" w:sz="0" w:space="0" w:color="auto"/>
        <w:bottom w:val="none" w:sz="0" w:space="0" w:color="auto"/>
        <w:right w:val="none" w:sz="0" w:space="0" w:color="auto"/>
      </w:divBdr>
    </w:div>
    <w:div w:id="2030444423">
      <w:bodyDiv w:val="1"/>
      <w:marLeft w:val="0"/>
      <w:marRight w:val="0"/>
      <w:marTop w:val="0"/>
      <w:marBottom w:val="0"/>
      <w:divBdr>
        <w:top w:val="none" w:sz="0" w:space="0" w:color="auto"/>
        <w:left w:val="none" w:sz="0" w:space="0" w:color="auto"/>
        <w:bottom w:val="none" w:sz="0" w:space="0" w:color="auto"/>
        <w:right w:val="none" w:sz="0" w:space="0" w:color="auto"/>
      </w:divBdr>
    </w:div>
    <w:div w:id="2058042746">
      <w:bodyDiv w:val="1"/>
      <w:marLeft w:val="0"/>
      <w:marRight w:val="0"/>
      <w:marTop w:val="0"/>
      <w:marBottom w:val="0"/>
      <w:divBdr>
        <w:top w:val="none" w:sz="0" w:space="0" w:color="auto"/>
        <w:left w:val="none" w:sz="0" w:space="0" w:color="auto"/>
        <w:bottom w:val="none" w:sz="0" w:space="0" w:color="auto"/>
        <w:right w:val="none" w:sz="0" w:space="0" w:color="auto"/>
      </w:divBdr>
    </w:div>
    <w:div w:id="2062287648">
      <w:bodyDiv w:val="1"/>
      <w:marLeft w:val="0"/>
      <w:marRight w:val="0"/>
      <w:marTop w:val="0"/>
      <w:marBottom w:val="0"/>
      <w:divBdr>
        <w:top w:val="none" w:sz="0" w:space="0" w:color="auto"/>
        <w:left w:val="none" w:sz="0" w:space="0" w:color="auto"/>
        <w:bottom w:val="none" w:sz="0" w:space="0" w:color="auto"/>
        <w:right w:val="none" w:sz="0" w:space="0" w:color="auto"/>
      </w:divBdr>
    </w:div>
    <w:div w:id="2083747094">
      <w:bodyDiv w:val="1"/>
      <w:marLeft w:val="0"/>
      <w:marRight w:val="0"/>
      <w:marTop w:val="0"/>
      <w:marBottom w:val="0"/>
      <w:divBdr>
        <w:top w:val="none" w:sz="0" w:space="0" w:color="auto"/>
        <w:left w:val="none" w:sz="0" w:space="0" w:color="auto"/>
        <w:bottom w:val="none" w:sz="0" w:space="0" w:color="auto"/>
        <w:right w:val="none" w:sz="0" w:space="0" w:color="auto"/>
      </w:divBdr>
      <w:divsChild>
        <w:div w:id="1579709940">
          <w:marLeft w:val="0"/>
          <w:marRight w:val="0"/>
          <w:marTop w:val="0"/>
          <w:marBottom w:val="0"/>
          <w:divBdr>
            <w:top w:val="none" w:sz="0" w:space="0" w:color="auto"/>
            <w:left w:val="none" w:sz="0" w:space="0" w:color="auto"/>
            <w:bottom w:val="none" w:sz="0" w:space="0" w:color="auto"/>
            <w:right w:val="none" w:sz="0" w:space="0" w:color="auto"/>
          </w:divBdr>
        </w:div>
        <w:div w:id="1231119730">
          <w:marLeft w:val="0"/>
          <w:marRight w:val="0"/>
          <w:marTop w:val="0"/>
          <w:marBottom w:val="0"/>
          <w:divBdr>
            <w:top w:val="none" w:sz="0" w:space="0" w:color="auto"/>
            <w:left w:val="none" w:sz="0" w:space="0" w:color="auto"/>
            <w:bottom w:val="none" w:sz="0" w:space="0" w:color="auto"/>
            <w:right w:val="none" w:sz="0" w:space="0" w:color="auto"/>
          </w:divBdr>
        </w:div>
      </w:divsChild>
    </w:div>
    <w:div w:id="2085830271">
      <w:bodyDiv w:val="1"/>
      <w:marLeft w:val="0"/>
      <w:marRight w:val="0"/>
      <w:marTop w:val="0"/>
      <w:marBottom w:val="0"/>
      <w:divBdr>
        <w:top w:val="none" w:sz="0" w:space="0" w:color="auto"/>
        <w:left w:val="none" w:sz="0" w:space="0" w:color="auto"/>
        <w:bottom w:val="none" w:sz="0" w:space="0" w:color="auto"/>
        <w:right w:val="none" w:sz="0" w:space="0" w:color="auto"/>
      </w:divBdr>
    </w:div>
    <w:div w:id="2112507888">
      <w:bodyDiv w:val="1"/>
      <w:marLeft w:val="0"/>
      <w:marRight w:val="0"/>
      <w:marTop w:val="0"/>
      <w:marBottom w:val="0"/>
      <w:divBdr>
        <w:top w:val="none" w:sz="0" w:space="0" w:color="auto"/>
        <w:left w:val="none" w:sz="0" w:space="0" w:color="auto"/>
        <w:bottom w:val="none" w:sz="0" w:space="0" w:color="auto"/>
        <w:right w:val="none" w:sz="0" w:space="0" w:color="auto"/>
      </w:divBdr>
    </w:div>
    <w:div w:id="212888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lt" TargetMode="External"/><Relationship Id="rId5" Type="http://schemas.openxmlformats.org/officeDocument/2006/relationships/webSettings" Target="webSettings.xml"/><Relationship Id="rId10" Type="http://schemas.openxmlformats.org/officeDocument/2006/relationships/hyperlink" Target="http://www.rekvizitai.lt"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b5c313d0986d11eb9fecb5ecd3bd711c/asr" TargetMode="External"/><Relationship Id="rId2" Type="http://schemas.openxmlformats.org/officeDocument/2006/relationships/hyperlink" Target="https://eurlex.europa.eu/legalcontent/EN/TXT/?uri=uriserv%3AOJ.C_.2021.200.01.0001.01.ENG&amp;toc=OJ%3AC%3A2021%3A200%3ATOC" TargetMode="External"/><Relationship Id="rId1" Type="http://schemas.openxmlformats.org/officeDocument/2006/relationships/hyperlink" Target="https://www.e-tar.lt/portal/lt/legalAct/14e33320f1ed11ec8fa7d02a65c371ad" TargetMode="External"/><Relationship Id="rId5" Type="http://schemas.openxmlformats.org/officeDocument/2006/relationships/hyperlink" Target="https://www.e-tar.lt/portal/lt/legalAct/5975ad10fb5c11ec8fa7d02a65c371ad" TargetMode="External"/><Relationship Id="rId4" Type="http://schemas.openxmlformats.org/officeDocument/2006/relationships/hyperlink" Target="https://www.e-tar.lt/portal/lt/legalAct/TAR.6AF8895BD87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AF34-267A-4DB3-AD36-21C66C3C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13909</Words>
  <Characters>7929</Characters>
  <Application>Microsoft Office Word</Application>
  <DocSecurity>4</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Kvietkauskienė</dc:creator>
  <cp:lastModifiedBy>Alina Kvietkauskienė</cp:lastModifiedBy>
  <cp:revision>2</cp:revision>
  <dcterms:created xsi:type="dcterms:W3CDTF">2023-05-16T13:44:00Z</dcterms:created>
  <dcterms:modified xsi:type="dcterms:W3CDTF">2023-05-16T13:44:00Z</dcterms:modified>
</cp:coreProperties>
</file>